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9B220" w14:textId="71EB7216" w:rsidR="008F326F" w:rsidRPr="008C01F4" w:rsidRDefault="008C01F4" w:rsidP="00E06B11">
      <w:pPr>
        <w:pStyle w:val="Titre"/>
        <w:rPr>
          <w:sz w:val="24"/>
          <w:szCs w:val="12"/>
        </w:rPr>
      </w:pPr>
      <w:r w:rsidRPr="008C01F4">
        <w:rPr>
          <w:sz w:val="24"/>
          <w:szCs w:val="12"/>
        </w:rPr>
        <w:t xml:space="preserve">Thème </w:t>
      </w:r>
      <w:r w:rsidR="000B020E">
        <w:rPr>
          <w:sz w:val="24"/>
          <w:szCs w:val="12"/>
        </w:rPr>
        <w:t>3</w:t>
      </w:r>
      <w:r w:rsidRPr="008C01F4">
        <w:rPr>
          <w:sz w:val="24"/>
          <w:szCs w:val="12"/>
        </w:rPr>
        <w:t xml:space="preserve"> : </w:t>
      </w:r>
      <w:r w:rsidR="000B020E" w:rsidRPr="000B020E">
        <w:rPr>
          <w:sz w:val="24"/>
          <w:szCs w:val="12"/>
        </w:rPr>
        <w:t>Comment les ménages décident-ils d’affecter leur revenu ?</w:t>
      </w:r>
    </w:p>
    <w:p w14:paraId="28E9B222" w14:textId="013D6F16" w:rsidR="00E06B11" w:rsidRDefault="00BD5974" w:rsidP="00E06B11">
      <w:pPr>
        <w:pStyle w:val="Titre"/>
      </w:pPr>
      <w:r>
        <w:t>Evaluation</w:t>
      </w:r>
      <w:r w:rsidR="00DC39C4">
        <w:t xml:space="preserve"> </w:t>
      </w:r>
      <w:r w:rsidR="003541E3">
        <w:t>– Calculatrice autorisée</w:t>
      </w:r>
    </w:p>
    <w:p w14:paraId="56CA5DF9" w14:textId="77777777" w:rsidR="003541E3" w:rsidRPr="003541E3" w:rsidRDefault="003541E3" w:rsidP="003541E3">
      <w:pPr>
        <w:rPr>
          <w:b/>
          <w:bCs/>
          <w:sz w:val="16"/>
          <w:szCs w:val="16"/>
        </w:rPr>
      </w:pPr>
    </w:p>
    <w:p w14:paraId="725F541D" w14:textId="22EF70E2" w:rsidR="003541E3" w:rsidRDefault="003541E3" w:rsidP="003541E3">
      <w:r w:rsidRPr="003541E3">
        <w:rPr>
          <w:b/>
          <w:bCs/>
        </w:rPr>
        <w:t>Capacités évaluées :</w:t>
      </w:r>
      <w:r w:rsidRPr="003541E3">
        <w:t xml:space="preserve"> calculer et interpréter les propensions moyennes et marginales à consommer et à épargner ; interpréter un tableau statistique des répartitions du revenu ; identifier les déterminants de l’épargne</w:t>
      </w:r>
    </w:p>
    <w:p w14:paraId="28E9B223" w14:textId="73A5BAD9" w:rsidR="002E6DA3" w:rsidRDefault="00BD5974" w:rsidP="00BD5974">
      <w:pPr>
        <w:pStyle w:val="Titre2"/>
        <w:numPr>
          <w:ilvl w:val="0"/>
          <w:numId w:val="0"/>
        </w:numPr>
        <w:rPr>
          <w:sz w:val="28"/>
          <w:szCs w:val="22"/>
        </w:rPr>
      </w:pPr>
      <w:r w:rsidRPr="002238DE">
        <w:rPr>
          <w:sz w:val="28"/>
          <w:szCs w:val="22"/>
        </w:rPr>
        <w:t>Les questions doivent être traitées dans l’ordre. Veillez à l’orthographe, à la syntaxe et au soin de votre copie.</w:t>
      </w:r>
    </w:p>
    <w:p w14:paraId="37FE0700" w14:textId="77777777" w:rsidR="00B214FD" w:rsidRPr="00B214FD" w:rsidRDefault="00B214FD" w:rsidP="00B214FD">
      <w:pPr>
        <w:rPr>
          <w:sz w:val="14"/>
          <w:szCs w:val="12"/>
        </w:rPr>
      </w:pPr>
    </w:p>
    <w:tbl>
      <w:tblPr>
        <w:tblStyle w:val="Grilledutableau"/>
        <w:tblW w:w="10838" w:type="dxa"/>
        <w:tblLook w:val="04A0" w:firstRow="1" w:lastRow="0" w:firstColumn="1" w:lastColumn="0" w:noHBand="0" w:noVBand="1"/>
      </w:tblPr>
      <w:tblGrid>
        <w:gridCol w:w="10838"/>
      </w:tblGrid>
      <w:tr w:rsidR="00BD5974" w:rsidRPr="00DB44FE" w14:paraId="28E9B22E" w14:textId="77777777" w:rsidTr="003541E3">
        <w:trPr>
          <w:trHeight w:val="497"/>
        </w:trPr>
        <w:tc>
          <w:tcPr>
            <w:tcW w:w="10838" w:type="dxa"/>
            <w:vAlign w:val="center"/>
          </w:tcPr>
          <w:p w14:paraId="28E9B22D" w14:textId="48820348" w:rsidR="00BD5974" w:rsidRPr="00BD5974" w:rsidRDefault="003541E3" w:rsidP="003541E3">
            <w:pPr>
              <w:jc w:val="center"/>
              <w:rPr>
                <w:b/>
                <w:bCs/>
                <w:sz w:val="18"/>
                <w:szCs w:val="18"/>
              </w:rPr>
            </w:pPr>
            <w:r w:rsidRPr="003541E3">
              <w:rPr>
                <w:b/>
                <w:bCs/>
                <w:sz w:val="36"/>
                <w:szCs w:val="36"/>
              </w:rPr>
              <w:t>LES CHOIX</w:t>
            </w:r>
            <w:r>
              <w:rPr>
                <w:b/>
                <w:bCs/>
                <w:sz w:val="36"/>
                <w:szCs w:val="36"/>
              </w:rPr>
              <w:t xml:space="preserve"> </w:t>
            </w:r>
            <w:r w:rsidRPr="003541E3">
              <w:rPr>
                <w:b/>
                <w:bCs/>
                <w:sz w:val="36"/>
                <w:szCs w:val="36"/>
              </w:rPr>
              <w:t>D’UTILISATION DES REVENUS</w:t>
            </w:r>
            <w:r>
              <w:rPr>
                <w:b/>
                <w:bCs/>
                <w:sz w:val="36"/>
                <w:szCs w:val="36"/>
              </w:rPr>
              <w:t> </w:t>
            </w:r>
          </w:p>
        </w:tc>
      </w:tr>
    </w:tbl>
    <w:p w14:paraId="1557413F" w14:textId="14555E35" w:rsidR="00914AD1" w:rsidRPr="002238DE" w:rsidRDefault="00914AD1" w:rsidP="00914AD1">
      <w:pPr>
        <w:pStyle w:val="Titre3"/>
        <w:numPr>
          <w:ilvl w:val="0"/>
          <w:numId w:val="0"/>
        </w:numPr>
        <w:ind w:left="720" w:hanging="360"/>
        <w:rPr>
          <w:szCs w:val="28"/>
        </w:rPr>
      </w:pPr>
      <w:r w:rsidRPr="002238DE">
        <w:rPr>
          <w:szCs w:val="28"/>
        </w:rPr>
        <w:t>A partir</w:t>
      </w:r>
      <w:r w:rsidR="002238DE" w:rsidRPr="002238DE">
        <w:rPr>
          <w:szCs w:val="28"/>
        </w:rPr>
        <w:t xml:space="preserve"> de vos connaissances et des informations fournies en annexes, répondez aux questions suivantes :</w:t>
      </w:r>
    </w:p>
    <w:p w14:paraId="4124E241" w14:textId="77777777" w:rsidR="00914AD1" w:rsidRPr="00B214FD" w:rsidRDefault="00914AD1" w:rsidP="00914AD1">
      <w:pPr>
        <w:rPr>
          <w:sz w:val="16"/>
          <w:szCs w:val="16"/>
        </w:rPr>
      </w:pPr>
    </w:p>
    <w:p w14:paraId="5879EC1E" w14:textId="1BFFD751" w:rsidR="003541E3" w:rsidRPr="003541E3" w:rsidRDefault="003541E3" w:rsidP="003541E3">
      <w:pPr>
        <w:pStyle w:val="Titre3"/>
      </w:pPr>
      <w:r>
        <w:t>Complétez le tableau en annexe 1</w:t>
      </w:r>
      <w:r w:rsidR="003D7512">
        <w:t>. Vous y détaillerez les calculs nécessaires</w:t>
      </w:r>
    </w:p>
    <w:p w14:paraId="58642479" w14:textId="77777777" w:rsidR="003541E3" w:rsidRPr="009F4DC1" w:rsidRDefault="003541E3" w:rsidP="003541E3">
      <w:pPr>
        <w:rPr>
          <w:rFonts w:eastAsiaTheme="majorEastAsia" w:cstheme="majorBidi"/>
          <w:b/>
          <w:sz w:val="20"/>
        </w:rPr>
      </w:pPr>
    </w:p>
    <w:p w14:paraId="4E46DEDA" w14:textId="10C6A51D" w:rsidR="003541E3" w:rsidRDefault="009F4DC1" w:rsidP="009F4DC1">
      <w:pPr>
        <w:pStyle w:val="Titre3"/>
      </w:pPr>
      <w:r w:rsidRPr="009F4DC1">
        <w:t xml:space="preserve">Définissez les éléments ci-dessous. </w:t>
      </w:r>
      <w:r>
        <w:t>Illustrez</w:t>
      </w:r>
      <w:r w:rsidRPr="009F4DC1">
        <w:t xml:space="preserve"> vos définissions avec les résultats trouvés en annexe 1. </w:t>
      </w:r>
    </w:p>
    <w:p w14:paraId="3FB38A4E" w14:textId="77777777" w:rsidR="003541E3" w:rsidRPr="003541E3" w:rsidRDefault="003541E3" w:rsidP="003541E3">
      <w:pPr>
        <w:pStyle w:val="Titre3"/>
        <w:numPr>
          <w:ilvl w:val="1"/>
          <w:numId w:val="5"/>
        </w:numPr>
      </w:pPr>
      <w:r w:rsidRPr="003541E3">
        <w:rPr>
          <w:szCs w:val="32"/>
        </w:rPr>
        <w:t xml:space="preserve">Les propensions moyennes à épargner et à consommer. </w:t>
      </w:r>
    </w:p>
    <w:p w14:paraId="1692E26E" w14:textId="07B54AFC" w:rsidR="003D7512" w:rsidRDefault="003541E3" w:rsidP="000B020E">
      <w:pPr>
        <w:pStyle w:val="Titre3"/>
        <w:numPr>
          <w:ilvl w:val="1"/>
          <w:numId w:val="5"/>
        </w:numPr>
        <w:rPr>
          <w:szCs w:val="32"/>
        </w:rPr>
      </w:pPr>
      <w:r w:rsidRPr="003541E3">
        <w:rPr>
          <w:szCs w:val="32"/>
        </w:rPr>
        <w:t xml:space="preserve">Les propensions marginales à épargner et à consommer. </w:t>
      </w:r>
    </w:p>
    <w:p w14:paraId="510A66CF" w14:textId="77777777" w:rsidR="003D7512" w:rsidRPr="009F4DC1" w:rsidRDefault="003D7512" w:rsidP="003D7512">
      <w:pPr>
        <w:rPr>
          <w:b/>
          <w:bCs/>
          <w:sz w:val="20"/>
        </w:rPr>
      </w:pPr>
    </w:p>
    <w:p w14:paraId="7E036A2E" w14:textId="77777777" w:rsidR="003A1FBA" w:rsidRPr="003A1FBA" w:rsidRDefault="003A1FBA" w:rsidP="003A1FBA">
      <w:pPr>
        <w:pStyle w:val="Titre3"/>
      </w:pPr>
      <w:r w:rsidRPr="003A1FBA">
        <w:t>Déterminez l’impact de la hausse du revenu sur le comportement d’épargne. Illustrez vos propos avec les résultats trouvés en annexe 1.</w:t>
      </w:r>
    </w:p>
    <w:p w14:paraId="6AF3327D" w14:textId="77777777" w:rsidR="003D7512" w:rsidRPr="003D7512" w:rsidRDefault="003D7512" w:rsidP="003D7512">
      <w:pPr>
        <w:autoSpaceDE w:val="0"/>
        <w:autoSpaceDN w:val="0"/>
        <w:adjustRightInd w:val="0"/>
        <w:spacing w:after="0" w:line="240" w:lineRule="auto"/>
        <w:rPr>
          <w:rFonts w:ascii="Roboto" w:hAnsi="Roboto" w:cs="Roboto"/>
          <w:color w:val="000000"/>
          <w:sz w:val="20"/>
        </w:rPr>
      </w:pPr>
    </w:p>
    <w:p w14:paraId="0EE4DE59" w14:textId="11BA9F24" w:rsidR="003D7512" w:rsidRPr="003D7512" w:rsidRDefault="003D7512" w:rsidP="003D7512">
      <w:pPr>
        <w:pStyle w:val="Titre3"/>
      </w:pPr>
      <w:r w:rsidRPr="003D7512">
        <w:t>Compare</w:t>
      </w:r>
      <w:r>
        <w:t>z</w:t>
      </w:r>
      <w:r w:rsidRPr="003D7512">
        <w:t xml:space="preserve"> les taux d’épargne des cinq quintiles et montre</w:t>
      </w:r>
      <w:r>
        <w:t>z</w:t>
      </w:r>
      <w:r w:rsidRPr="003D7512">
        <w:t xml:space="preserve"> si l’arbitrage consommation épargne dépend du revenu</w:t>
      </w:r>
      <w:r w:rsidR="003A1FBA">
        <w:t xml:space="preserve"> (Annexe 2)</w:t>
      </w:r>
      <w:r w:rsidRPr="003D7512">
        <w:t xml:space="preserve">. </w:t>
      </w:r>
    </w:p>
    <w:p w14:paraId="5CE39827" w14:textId="77777777" w:rsidR="003D7512" w:rsidRPr="003D7512" w:rsidRDefault="003D7512" w:rsidP="003D7512">
      <w:pPr>
        <w:autoSpaceDE w:val="0"/>
        <w:autoSpaceDN w:val="0"/>
        <w:adjustRightInd w:val="0"/>
        <w:spacing w:after="0" w:line="240" w:lineRule="auto"/>
        <w:rPr>
          <w:rFonts w:ascii="Roboto" w:hAnsi="Roboto" w:cs="Roboto"/>
          <w:color w:val="000000"/>
          <w:sz w:val="20"/>
        </w:rPr>
      </w:pPr>
    </w:p>
    <w:p w14:paraId="44A1A06B" w14:textId="77777777" w:rsidR="00B44F0B" w:rsidRDefault="003A1FBA" w:rsidP="003D7512">
      <w:pPr>
        <w:pStyle w:val="Titre3"/>
      </w:pPr>
      <w:r>
        <w:t xml:space="preserve">A partir de l’annexe 3 et de vos connaissances, rédigez une argumentation </w:t>
      </w:r>
      <w:r w:rsidR="00B44F0B">
        <w:t>répondant à la question suivante :</w:t>
      </w:r>
    </w:p>
    <w:p w14:paraId="30097182" w14:textId="79D69CEC" w:rsidR="003D7512" w:rsidRDefault="00B44F0B" w:rsidP="00B44F0B">
      <w:pPr>
        <w:pStyle w:val="Titre3"/>
        <w:numPr>
          <w:ilvl w:val="0"/>
          <w:numId w:val="0"/>
        </w:numPr>
        <w:ind w:left="720"/>
        <w:rPr>
          <w:i/>
          <w:iCs/>
        </w:rPr>
      </w:pPr>
      <w:r w:rsidRPr="00B44F0B">
        <w:rPr>
          <w:i/>
          <w:iCs/>
        </w:rPr>
        <w:t xml:space="preserve">Existe-t-il </w:t>
      </w:r>
      <w:r w:rsidR="003D7512" w:rsidRPr="00B44F0B">
        <w:rPr>
          <w:i/>
          <w:iCs/>
        </w:rPr>
        <w:t>d’autres facteurs que le revenu qui déterminent l’arbitrage consommation-épargne dans le partage du revenu</w:t>
      </w:r>
      <w:r w:rsidRPr="00B44F0B">
        <w:rPr>
          <w:i/>
          <w:iCs/>
        </w:rPr>
        <w:t> ?</w:t>
      </w:r>
      <w:r w:rsidR="003D7512" w:rsidRPr="00B44F0B">
        <w:rPr>
          <w:i/>
          <w:iCs/>
        </w:rPr>
        <w:t xml:space="preserve"> </w:t>
      </w:r>
    </w:p>
    <w:p w14:paraId="28E9B23B" w14:textId="135B1538" w:rsidR="008F326F" w:rsidRPr="002E5818" w:rsidRDefault="00C923F8" w:rsidP="00CD09BD">
      <w:pPr>
        <w:rPr>
          <w:color w:val="FF0000"/>
        </w:rPr>
      </w:pPr>
      <w:r>
        <w:t>Vous préparerez au brouillon le tableau « A.E.I. » de votre fiche méthode sur l’argumentation et le complèterez avant de passer à la rédaction sur votre copie. Votre brouillon sera relevé</w:t>
      </w:r>
      <w:r>
        <w:t>.</w:t>
      </w:r>
      <w:bookmarkStart w:id="0" w:name="_GoBack"/>
      <w:bookmarkEnd w:id="0"/>
      <w:r w:rsidR="008F326F">
        <w:br w:type="page"/>
      </w:r>
    </w:p>
    <w:p w14:paraId="30B73276" w14:textId="70B180E2" w:rsidR="00BD5974" w:rsidRDefault="008373E8" w:rsidP="002E5818">
      <w:pPr>
        <w:rPr>
          <w:b/>
          <w:bCs/>
          <w:sz w:val="28"/>
          <w:szCs w:val="24"/>
        </w:rPr>
      </w:pPr>
      <w:r w:rsidRPr="002238DE">
        <w:rPr>
          <w:b/>
          <w:bCs/>
          <w:noProof/>
          <w:sz w:val="28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36F0E3" wp14:editId="603A999D">
                <wp:simplePos x="0" y="0"/>
                <wp:positionH relativeFrom="margin">
                  <wp:posOffset>-95250</wp:posOffset>
                </wp:positionH>
                <wp:positionV relativeFrom="paragraph">
                  <wp:posOffset>3810</wp:posOffset>
                </wp:positionV>
                <wp:extent cx="7000875" cy="455295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4552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B7190B" id="Rectangle 6" o:spid="_x0000_s1026" style="position:absolute;margin-left:-7.5pt;margin-top:.3pt;width:551.25pt;height:35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" filled="f" strokecolor="black [3213]" strokeweight="1pt">
                <w10:wrap anchorx="margin"/>
              </v:rect>
            </w:pict>
          </mc:Fallback>
        </mc:AlternateContent>
      </w:r>
      <w:r w:rsidR="00C7676A" w:rsidRPr="002238DE">
        <w:rPr>
          <w:b/>
          <w:bCs/>
          <w:noProof/>
          <w:sz w:val="28"/>
          <w:szCs w:val="24"/>
        </w:rPr>
        <w:t>Annexe</w:t>
      </w:r>
      <w:r w:rsidR="00BD5974" w:rsidRPr="002238DE">
        <w:rPr>
          <w:b/>
          <w:bCs/>
          <w:sz w:val="28"/>
          <w:szCs w:val="24"/>
        </w:rPr>
        <w:t xml:space="preserve"> 1 : </w:t>
      </w:r>
      <w:r w:rsidR="003D7512">
        <w:rPr>
          <w:b/>
          <w:bCs/>
          <w:sz w:val="28"/>
          <w:szCs w:val="24"/>
        </w:rPr>
        <w:t>La situation d’Imen et Patrick</w:t>
      </w:r>
    </w:p>
    <w:p w14:paraId="75BD15D8" w14:textId="77777777" w:rsidR="003D7512" w:rsidRPr="003541E3" w:rsidRDefault="003D7512" w:rsidP="003D7512">
      <w:pPr>
        <w:pStyle w:val="Paragraphedeliste"/>
        <w:ind w:left="0"/>
        <w:jc w:val="both"/>
        <w:rPr>
          <w:color w:val="000000"/>
          <w:sz w:val="28"/>
          <w:szCs w:val="24"/>
        </w:rPr>
      </w:pPr>
      <w:r w:rsidRPr="003541E3">
        <w:rPr>
          <w:color w:val="000000"/>
          <w:sz w:val="28"/>
          <w:szCs w:val="24"/>
        </w:rPr>
        <w:t xml:space="preserve">Imen et Patrick forment un ménage qui gagnait en 2010, 25 000 euros par an. Sur ces 25 000 euros, ils en consommaient 22 500 et en épargnaient 2 500. </w:t>
      </w:r>
    </w:p>
    <w:p w14:paraId="71FBEBD0" w14:textId="77777777" w:rsidR="003D7512" w:rsidRPr="003541E3" w:rsidRDefault="003D7512" w:rsidP="003D7512">
      <w:pPr>
        <w:pStyle w:val="Paragraphedeliste"/>
        <w:ind w:left="0"/>
        <w:jc w:val="both"/>
        <w:rPr>
          <w:color w:val="000000"/>
          <w:sz w:val="28"/>
          <w:szCs w:val="24"/>
        </w:rPr>
      </w:pPr>
      <w:r w:rsidRPr="003541E3">
        <w:rPr>
          <w:color w:val="000000"/>
          <w:sz w:val="28"/>
          <w:szCs w:val="24"/>
        </w:rPr>
        <w:t>Aujourd’hui, ils gagnent 50 000 euros par an. Ils consomment 40 000 euros et en épargnent 10 000.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3"/>
        <w:gridCol w:w="3991"/>
        <w:gridCol w:w="3992"/>
      </w:tblGrid>
      <w:tr w:rsidR="003D7512" w:rsidRPr="003D7512" w14:paraId="2A3EBCBC" w14:textId="77777777" w:rsidTr="003D7512">
        <w:tblPrEx>
          <w:tblCellMar>
            <w:top w:w="0" w:type="dxa"/>
            <w:bottom w:w="0" w:type="dxa"/>
          </w:tblCellMar>
        </w:tblPrEx>
        <w:trPr>
          <w:trHeight w:val="142"/>
        </w:trPr>
        <w:tc>
          <w:tcPr>
            <w:tcW w:w="2863" w:type="dxa"/>
            <w:shd w:val="clear" w:color="auto" w:fill="DEEAF6" w:themeFill="accent1" w:themeFillTint="33"/>
          </w:tcPr>
          <w:p w14:paraId="148105B5" w14:textId="49B0708B" w:rsidR="003D7512" w:rsidRPr="003D7512" w:rsidRDefault="003D7512" w:rsidP="003D7512">
            <w:pPr>
              <w:autoSpaceDE w:val="0"/>
              <w:autoSpaceDN w:val="0"/>
              <w:adjustRightInd w:val="0"/>
              <w:spacing w:after="220" w:line="201" w:lineRule="atLeast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3D751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Années</w:t>
            </w:r>
          </w:p>
        </w:tc>
        <w:tc>
          <w:tcPr>
            <w:tcW w:w="3991" w:type="dxa"/>
            <w:shd w:val="clear" w:color="auto" w:fill="DEEAF6" w:themeFill="accent1" w:themeFillTint="33"/>
          </w:tcPr>
          <w:p w14:paraId="34C4A7FA" w14:textId="10DA6B00" w:rsidR="003D7512" w:rsidRPr="003D7512" w:rsidRDefault="003D7512" w:rsidP="003D7512">
            <w:pPr>
              <w:autoSpaceDE w:val="0"/>
              <w:autoSpaceDN w:val="0"/>
              <w:adjustRightInd w:val="0"/>
              <w:spacing w:after="220" w:line="201" w:lineRule="atLeast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3D751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2010</w:t>
            </w:r>
          </w:p>
        </w:tc>
        <w:tc>
          <w:tcPr>
            <w:tcW w:w="3992" w:type="dxa"/>
            <w:shd w:val="clear" w:color="auto" w:fill="DEEAF6" w:themeFill="accent1" w:themeFillTint="33"/>
          </w:tcPr>
          <w:p w14:paraId="776CF6A3" w14:textId="2647A50F" w:rsidR="003D7512" w:rsidRPr="003D7512" w:rsidRDefault="003D7512" w:rsidP="003D7512">
            <w:pPr>
              <w:autoSpaceDE w:val="0"/>
              <w:autoSpaceDN w:val="0"/>
              <w:adjustRightInd w:val="0"/>
              <w:spacing w:after="220" w:line="201" w:lineRule="atLeast"/>
              <w:jc w:val="center"/>
              <w:rPr>
                <w:rFonts w:cstheme="minorHAnsi"/>
                <w:color w:val="000000"/>
                <w:sz w:val="28"/>
                <w:szCs w:val="28"/>
              </w:rPr>
            </w:pPr>
            <w:r w:rsidRPr="003D7512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2019</w:t>
            </w:r>
          </w:p>
        </w:tc>
      </w:tr>
      <w:tr w:rsidR="003D7512" w:rsidRPr="003D7512" w14:paraId="7C77D9EE" w14:textId="77777777" w:rsidTr="003D7512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2863" w:type="dxa"/>
          </w:tcPr>
          <w:p w14:paraId="43DB32F7" w14:textId="77777777" w:rsidR="003D7512" w:rsidRPr="003D7512" w:rsidRDefault="003D7512" w:rsidP="003D7512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 w:val="28"/>
                <w:szCs w:val="28"/>
              </w:rPr>
            </w:pPr>
            <w:r w:rsidRPr="003D7512">
              <w:rPr>
                <w:rFonts w:cstheme="minorHAnsi"/>
                <w:color w:val="000000"/>
                <w:sz w:val="28"/>
                <w:szCs w:val="28"/>
              </w:rPr>
              <w:t xml:space="preserve">Revenu </w:t>
            </w:r>
          </w:p>
        </w:tc>
        <w:tc>
          <w:tcPr>
            <w:tcW w:w="3991" w:type="dxa"/>
          </w:tcPr>
          <w:p w14:paraId="4B3F1030" w14:textId="45CC35CC" w:rsidR="003D7512" w:rsidRPr="003D7512" w:rsidRDefault="003D7512" w:rsidP="003D7512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FFFFFF" w:themeColor="background1"/>
                <w:sz w:val="28"/>
                <w:szCs w:val="28"/>
              </w:rPr>
            </w:pPr>
            <w:r w:rsidRPr="003D7512">
              <w:rPr>
                <w:rFonts w:cstheme="minorHAnsi"/>
                <w:color w:val="FFFFFF" w:themeColor="background1"/>
                <w:sz w:val="28"/>
                <w:szCs w:val="28"/>
              </w:rPr>
              <w:t>25 000 €</w:t>
            </w:r>
          </w:p>
        </w:tc>
        <w:tc>
          <w:tcPr>
            <w:tcW w:w="3992" w:type="dxa"/>
          </w:tcPr>
          <w:p w14:paraId="4D5CCED7" w14:textId="4638A24F" w:rsidR="003D7512" w:rsidRPr="003D7512" w:rsidRDefault="003D7512" w:rsidP="003D7512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FFFFFF" w:themeColor="background1"/>
                <w:sz w:val="28"/>
                <w:szCs w:val="28"/>
              </w:rPr>
            </w:pPr>
            <w:r w:rsidRPr="003D7512">
              <w:rPr>
                <w:rFonts w:cstheme="minorHAnsi"/>
                <w:color w:val="FFFFFF" w:themeColor="background1"/>
                <w:sz w:val="28"/>
                <w:szCs w:val="28"/>
              </w:rPr>
              <w:t>50 000 €</w:t>
            </w:r>
          </w:p>
        </w:tc>
      </w:tr>
      <w:tr w:rsidR="003D7512" w:rsidRPr="003D7512" w14:paraId="3A942128" w14:textId="77777777" w:rsidTr="003D7512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2863" w:type="dxa"/>
          </w:tcPr>
          <w:p w14:paraId="1CF078C6" w14:textId="77777777" w:rsidR="003D7512" w:rsidRPr="003D7512" w:rsidRDefault="003D7512" w:rsidP="003D7512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 w:val="28"/>
                <w:szCs w:val="28"/>
              </w:rPr>
            </w:pPr>
            <w:r w:rsidRPr="003D7512">
              <w:rPr>
                <w:rFonts w:cstheme="minorHAnsi"/>
                <w:color w:val="000000"/>
                <w:sz w:val="28"/>
                <w:szCs w:val="28"/>
              </w:rPr>
              <w:t xml:space="preserve">Consommation </w:t>
            </w:r>
          </w:p>
        </w:tc>
        <w:tc>
          <w:tcPr>
            <w:tcW w:w="3991" w:type="dxa"/>
          </w:tcPr>
          <w:p w14:paraId="5055FA67" w14:textId="05B78A51" w:rsidR="003D7512" w:rsidRPr="003D7512" w:rsidRDefault="003D7512" w:rsidP="003D7512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FFFFFF" w:themeColor="background1"/>
                <w:sz w:val="28"/>
                <w:szCs w:val="28"/>
              </w:rPr>
            </w:pPr>
            <w:r w:rsidRPr="003D7512">
              <w:rPr>
                <w:rFonts w:cstheme="minorHAnsi"/>
                <w:color w:val="FFFFFF" w:themeColor="background1"/>
                <w:sz w:val="28"/>
                <w:szCs w:val="28"/>
              </w:rPr>
              <w:t>22 500 €</w:t>
            </w:r>
          </w:p>
        </w:tc>
        <w:tc>
          <w:tcPr>
            <w:tcW w:w="3992" w:type="dxa"/>
          </w:tcPr>
          <w:p w14:paraId="0D741D49" w14:textId="6D420231" w:rsidR="003D7512" w:rsidRPr="003D7512" w:rsidRDefault="003D7512" w:rsidP="003D7512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FFFFFF" w:themeColor="background1"/>
                <w:sz w:val="28"/>
                <w:szCs w:val="28"/>
              </w:rPr>
            </w:pPr>
            <w:r w:rsidRPr="003D7512">
              <w:rPr>
                <w:rFonts w:cstheme="minorHAnsi"/>
                <w:color w:val="FFFFFF" w:themeColor="background1"/>
                <w:sz w:val="28"/>
                <w:szCs w:val="28"/>
              </w:rPr>
              <w:t>40 000 €</w:t>
            </w:r>
          </w:p>
        </w:tc>
      </w:tr>
      <w:tr w:rsidR="003D7512" w:rsidRPr="003D7512" w14:paraId="0182B796" w14:textId="77777777" w:rsidTr="003D7512">
        <w:tblPrEx>
          <w:tblCellMar>
            <w:top w:w="0" w:type="dxa"/>
            <w:bottom w:w="0" w:type="dxa"/>
          </w:tblCellMar>
        </w:tblPrEx>
        <w:trPr>
          <w:trHeight w:val="127"/>
        </w:trPr>
        <w:tc>
          <w:tcPr>
            <w:tcW w:w="2863" w:type="dxa"/>
          </w:tcPr>
          <w:p w14:paraId="5FC8D8BE" w14:textId="77777777" w:rsidR="003D7512" w:rsidRPr="003D7512" w:rsidRDefault="003D7512" w:rsidP="003D7512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 w:val="28"/>
                <w:szCs w:val="28"/>
              </w:rPr>
            </w:pPr>
            <w:r w:rsidRPr="003D7512">
              <w:rPr>
                <w:rFonts w:cstheme="minorHAnsi"/>
                <w:color w:val="000000"/>
                <w:sz w:val="28"/>
                <w:szCs w:val="28"/>
              </w:rPr>
              <w:t xml:space="preserve">Épargne </w:t>
            </w:r>
          </w:p>
        </w:tc>
        <w:tc>
          <w:tcPr>
            <w:tcW w:w="3991" w:type="dxa"/>
          </w:tcPr>
          <w:p w14:paraId="372FC95D" w14:textId="185AF78E" w:rsidR="003D7512" w:rsidRPr="003D7512" w:rsidRDefault="003D7512" w:rsidP="003D7512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FFFFFF" w:themeColor="background1"/>
                <w:sz w:val="28"/>
                <w:szCs w:val="28"/>
              </w:rPr>
            </w:pPr>
            <w:r w:rsidRPr="003D7512">
              <w:rPr>
                <w:rFonts w:cstheme="minorHAnsi"/>
                <w:color w:val="FFFFFF" w:themeColor="background1"/>
                <w:sz w:val="28"/>
                <w:szCs w:val="28"/>
              </w:rPr>
              <w:t>2 500 €</w:t>
            </w:r>
          </w:p>
        </w:tc>
        <w:tc>
          <w:tcPr>
            <w:tcW w:w="3992" w:type="dxa"/>
          </w:tcPr>
          <w:p w14:paraId="3F4CD48B" w14:textId="74D7CFD6" w:rsidR="003D7512" w:rsidRPr="003D7512" w:rsidRDefault="003D7512" w:rsidP="003D7512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FFFFFF" w:themeColor="background1"/>
                <w:sz w:val="28"/>
                <w:szCs w:val="28"/>
              </w:rPr>
            </w:pPr>
            <w:r w:rsidRPr="003D7512">
              <w:rPr>
                <w:rFonts w:cstheme="minorHAnsi"/>
                <w:color w:val="FFFFFF" w:themeColor="background1"/>
                <w:sz w:val="28"/>
                <w:szCs w:val="28"/>
              </w:rPr>
              <w:t>10 000 €</w:t>
            </w:r>
          </w:p>
        </w:tc>
      </w:tr>
      <w:tr w:rsidR="003D7512" w:rsidRPr="003D7512" w14:paraId="493CA0D9" w14:textId="77777777" w:rsidTr="003D7512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2863" w:type="dxa"/>
          </w:tcPr>
          <w:p w14:paraId="0EC995DD" w14:textId="77777777" w:rsidR="003D7512" w:rsidRPr="003D7512" w:rsidRDefault="003D7512" w:rsidP="003D7512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 w:val="28"/>
                <w:szCs w:val="28"/>
              </w:rPr>
            </w:pPr>
            <w:r w:rsidRPr="003D7512">
              <w:rPr>
                <w:rFonts w:cstheme="minorHAnsi"/>
                <w:color w:val="000000"/>
                <w:sz w:val="28"/>
                <w:szCs w:val="28"/>
              </w:rPr>
              <w:t xml:space="preserve">Propension moyenne à consommer </w:t>
            </w:r>
          </w:p>
        </w:tc>
        <w:tc>
          <w:tcPr>
            <w:tcW w:w="3991" w:type="dxa"/>
          </w:tcPr>
          <w:p w14:paraId="668704BE" w14:textId="164D2900" w:rsidR="003D7512" w:rsidRPr="003D7512" w:rsidRDefault="003D7512" w:rsidP="003D7512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FFFFFF" w:themeColor="background1"/>
                <w:sz w:val="28"/>
                <w:szCs w:val="28"/>
              </w:rPr>
            </w:pPr>
            <w:r w:rsidRPr="003D7512">
              <w:rPr>
                <w:rFonts w:cstheme="minorHAnsi"/>
                <w:color w:val="FFFFFF" w:themeColor="background1"/>
                <w:sz w:val="28"/>
                <w:szCs w:val="28"/>
              </w:rPr>
              <w:t>(22 500/25 000) x 100 = 90 %</w:t>
            </w:r>
          </w:p>
        </w:tc>
        <w:tc>
          <w:tcPr>
            <w:tcW w:w="3992" w:type="dxa"/>
          </w:tcPr>
          <w:p w14:paraId="64CDE0F9" w14:textId="292A99FA" w:rsidR="003D7512" w:rsidRPr="003D7512" w:rsidRDefault="003D7512" w:rsidP="003D7512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FFFFFF" w:themeColor="background1"/>
                <w:sz w:val="28"/>
                <w:szCs w:val="28"/>
              </w:rPr>
            </w:pPr>
            <w:r w:rsidRPr="003D7512">
              <w:rPr>
                <w:rFonts w:cstheme="minorHAnsi"/>
                <w:color w:val="FFFFFF" w:themeColor="background1"/>
                <w:sz w:val="28"/>
                <w:szCs w:val="28"/>
              </w:rPr>
              <w:t>(40 000/50 000) x 100 = 80 %</w:t>
            </w:r>
          </w:p>
        </w:tc>
      </w:tr>
      <w:tr w:rsidR="003D7512" w:rsidRPr="003D7512" w14:paraId="210304D1" w14:textId="77777777" w:rsidTr="003D7512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2863" w:type="dxa"/>
          </w:tcPr>
          <w:p w14:paraId="35F3905B" w14:textId="77777777" w:rsidR="003D7512" w:rsidRPr="003D7512" w:rsidRDefault="003D7512" w:rsidP="003D7512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 w:val="28"/>
                <w:szCs w:val="28"/>
              </w:rPr>
            </w:pPr>
            <w:r w:rsidRPr="003D7512">
              <w:rPr>
                <w:rFonts w:cstheme="minorHAnsi"/>
                <w:color w:val="000000"/>
                <w:sz w:val="28"/>
                <w:szCs w:val="28"/>
              </w:rPr>
              <w:t xml:space="preserve">Propension moyenne à épargner </w:t>
            </w:r>
          </w:p>
        </w:tc>
        <w:tc>
          <w:tcPr>
            <w:tcW w:w="3991" w:type="dxa"/>
          </w:tcPr>
          <w:p w14:paraId="5BF5BFA2" w14:textId="6261CF67" w:rsidR="003D7512" w:rsidRPr="003D7512" w:rsidRDefault="003D7512" w:rsidP="003D7512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FFFFFF" w:themeColor="background1"/>
                <w:sz w:val="28"/>
                <w:szCs w:val="28"/>
              </w:rPr>
            </w:pPr>
            <w:r w:rsidRPr="003D7512">
              <w:rPr>
                <w:rFonts w:cstheme="minorHAnsi"/>
                <w:color w:val="FFFFFF" w:themeColor="background1"/>
                <w:sz w:val="28"/>
                <w:szCs w:val="28"/>
              </w:rPr>
              <w:t>(2 500/25 000) x 100 = 10 %</w:t>
            </w:r>
          </w:p>
        </w:tc>
        <w:tc>
          <w:tcPr>
            <w:tcW w:w="3992" w:type="dxa"/>
          </w:tcPr>
          <w:p w14:paraId="7DC59C1D" w14:textId="5D5E9C7A" w:rsidR="003D7512" w:rsidRPr="003D7512" w:rsidRDefault="003D7512" w:rsidP="003D7512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FFFFFF" w:themeColor="background1"/>
                <w:sz w:val="28"/>
                <w:szCs w:val="28"/>
              </w:rPr>
            </w:pPr>
            <w:r w:rsidRPr="003D7512">
              <w:rPr>
                <w:rFonts w:cstheme="minorHAnsi"/>
                <w:color w:val="FFFFFF" w:themeColor="background1"/>
                <w:sz w:val="28"/>
                <w:szCs w:val="28"/>
              </w:rPr>
              <w:t>(10 000/50 000) x 100 = 20 %</w:t>
            </w:r>
          </w:p>
        </w:tc>
      </w:tr>
      <w:tr w:rsidR="003D7512" w:rsidRPr="003D7512" w14:paraId="1E034B7F" w14:textId="77777777" w:rsidTr="003D7512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2863" w:type="dxa"/>
          </w:tcPr>
          <w:p w14:paraId="0BDC7835" w14:textId="77777777" w:rsidR="003D7512" w:rsidRPr="003D7512" w:rsidRDefault="003D7512" w:rsidP="003D7512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 w:val="28"/>
                <w:szCs w:val="28"/>
              </w:rPr>
            </w:pPr>
            <w:r w:rsidRPr="003D7512">
              <w:rPr>
                <w:rFonts w:cstheme="minorHAnsi"/>
                <w:color w:val="000000"/>
                <w:sz w:val="28"/>
                <w:szCs w:val="28"/>
              </w:rPr>
              <w:t xml:space="preserve">Propension marginale à consommer </w:t>
            </w:r>
          </w:p>
        </w:tc>
        <w:tc>
          <w:tcPr>
            <w:tcW w:w="7983" w:type="dxa"/>
            <w:gridSpan w:val="2"/>
          </w:tcPr>
          <w:p w14:paraId="23FC3829" w14:textId="11A5CA0B" w:rsidR="003D7512" w:rsidRPr="003D7512" w:rsidRDefault="003D7512" w:rsidP="003D7512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FFFFFF" w:themeColor="background1"/>
                <w:sz w:val="28"/>
                <w:szCs w:val="28"/>
              </w:rPr>
            </w:pPr>
            <w:r w:rsidRPr="003D7512">
              <w:rPr>
                <w:rFonts w:cstheme="minorHAnsi"/>
                <w:color w:val="FFFFFF" w:themeColor="background1"/>
                <w:sz w:val="28"/>
                <w:szCs w:val="28"/>
              </w:rPr>
              <w:t xml:space="preserve">[(40 000 – 22 </w:t>
            </w:r>
            <w:proofErr w:type="gramStart"/>
            <w:r w:rsidRPr="003D7512">
              <w:rPr>
                <w:rFonts w:cstheme="minorHAnsi"/>
                <w:color w:val="FFFFFF" w:themeColor="background1"/>
                <w:sz w:val="28"/>
                <w:szCs w:val="28"/>
              </w:rPr>
              <w:t>500)/</w:t>
            </w:r>
            <w:proofErr w:type="gramEnd"/>
            <w:r w:rsidRPr="003D7512">
              <w:rPr>
                <w:rFonts w:cstheme="minorHAnsi"/>
                <w:color w:val="FFFFFF" w:themeColor="background1"/>
                <w:sz w:val="28"/>
                <w:szCs w:val="28"/>
              </w:rPr>
              <w:t>(50 000 – 25 000)] x 100 = 70 %</w:t>
            </w:r>
          </w:p>
        </w:tc>
      </w:tr>
      <w:tr w:rsidR="003D7512" w:rsidRPr="003D7512" w14:paraId="663DCEEE" w14:textId="77777777" w:rsidTr="003D7512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2863" w:type="dxa"/>
          </w:tcPr>
          <w:p w14:paraId="7F740F5D" w14:textId="77777777" w:rsidR="003D7512" w:rsidRPr="003D7512" w:rsidRDefault="003D7512" w:rsidP="003D7512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 w:val="28"/>
                <w:szCs w:val="28"/>
              </w:rPr>
            </w:pPr>
            <w:r w:rsidRPr="003D7512">
              <w:rPr>
                <w:rFonts w:cstheme="minorHAnsi"/>
                <w:color w:val="000000"/>
                <w:sz w:val="28"/>
                <w:szCs w:val="28"/>
              </w:rPr>
              <w:t xml:space="preserve">Propension marginale à épargner </w:t>
            </w:r>
          </w:p>
        </w:tc>
        <w:tc>
          <w:tcPr>
            <w:tcW w:w="7983" w:type="dxa"/>
            <w:gridSpan w:val="2"/>
          </w:tcPr>
          <w:p w14:paraId="227E66E3" w14:textId="2044B3AE" w:rsidR="003D7512" w:rsidRPr="003D7512" w:rsidRDefault="003D7512" w:rsidP="003D7512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FFFFFF" w:themeColor="background1"/>
                <w:sz w:val="28"/>
                <w:szCs w:val="28"/>
              </w:rPr>
            </w:pPr>
            <w:r w:rsidRPr="003D7512">
              <w:rPr>
                <w:rFonts w:cstheme="minorHAnsi"/>
                <w:color w:val="FFFFFF" w:themeColor="background1"/>
                <w:sz w:val="28"/>
                <w:szCs w:val="28"/>
              </w:rPr>
              <w:t xml:space="preserve">[(10 000 – 2 </w:t>
            </w:r>
            <w:proofErr w:type="gramStart"/>
            <w:r w:rsidRPr="003D7512">
              <w:rPr>
                <w:rFonts w:cstheme="minorHAnsi"/>
                <w:color w:val="FFFFFF" w:themeColor="background1"/>
                <w:sz w:val="28"/>
                <w:szCs w:val="28"/>
              </w:rPr>
              <w:t>500)/</w:t>
            </w:r>
            <w:proofErr w:type="gramEnd"/>
            <w:r w:rsidRPr="003D7512">
              <w:rPr>
                <w:rFonts w:cstheme="minorHAnsi"/>
                <w:color w:val="FFFFFF" w:themeColor="background1"/>
                <w:sz w:val="28"/>
                <w:szCs w:val="28"/>
              </w:rPr>
              <w:t>(50 000 – 25 000)] x 100 = 30 %</w:t>
            </w:r>
          </w:p>
        </w:tc>
      </w:tr>
    </w:tbl>
    <w:p w14:paraId="64AA5649" w14:textId="3370C6CD" w:rsidR="003D7512" w:rsidRDefault="003A1FBA" w:rsidP="002E5818">
      <w:pPr>
        <w:rPr>
          <w:b/>
          <w:bCs/>
          <w:sz w:val="28"/>
          <w:szCs w:val="24"/>
        </w:rPr>
      </w:pPr>
      <w:r w:rsidRPr="002238DE">
        <w:rPr>
          <w:b/>
          <w:bCs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54D36D" wp14:editId="564536DD">
                <wp:simplePos x="0" y="0"/>
                <wp:positionH relativeFrom="margin">
                  <wp:posOffset>-95250</wp:posOffset>
                </wp:positionH>
                <wp:positionV relativeFrom="paragraph">
                  <wp:posOffset>366395</wp:posOffset>
                </wp:positionV>
                <wp:extent cx="7000875" cy="25622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2562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DAD92B" id="Rectangle 2" o:spid="_x0000_s1026" style="position:absolute;margin-left:-7.5pt;margin-top:28.85pt;width:551.25pt;height:201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" filled="f" strokecolor="black [3213]" strokeweight="1pt">
                <w10:wrap anchorx="margin"/>
              </v:rect>
            </w:pict>
          </mc:Fallback>
        </mc:AlternateContent>
      </w:r>
    </w:p>
    <w:p w14:paraId="16AE3864" w14:textId="383595E6" w:rsidR="003A1FBA" w:rsidRDefault="003A1FBA" w:rsidP="002E5818">
      <w:pPr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Annexe 2 :</w:t>
      </w:r>
      <w:r w:rsidRPr="003A1FBA">
        <w:t xml:space="preserve"> </w:t>
      </w:r>
      <w:r w:rsidRPr="003A1FBA">
        <w:rPr>
          <w:b/>
          <w:bCs/>
          <w:sz w:val="28"/>
          <w:szCs w:val="24"/>
        </w:rPr>
        <w:t>Montant moyen annuel par ménage en 2011 en euros</w:t>
      </w:r>
      <w:r w:rsidR="00B44F0B">
        <w:rPr>
          <w:b/>
          <w:bCs/>
          <w:sz w:val="28"/>
          <w:szCs w:val="24"/>
        </w:rPr>
        <w:t xml:space="preserve"> par quintile</w:t>
      </w:r>
    </w:p>
    <w:tbl>
      <w:tblPr>
        <w:tblW w:w="1095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5"/>
        <w:gridCol w:w="1342"/>
        <w:gridCol w:w="1342"/>
        <w:gridCol w:w="1342"/>
        <w:gridCol w:w="1342"/>
        <w:gridCol w:w="1343"/>
        <w:gridCol w:w="1693"/>
      </w:tblGrid>
      <w:tr w:rsidR="003A1FBA" w:rsidRPr="003A1FBA" w14:paraId="2E644F5B" w14:textId="77777777" w:rsidTr="003A1FBA">
        <w:tblPrEx>
          <w:tblCellMar>
            <w:top w:w="0" w:type="dxa"/>
            <w:bottom w:w="0" w:type="dxa"/>
          </w:tblCellMar>
        </w:tblPrEx>
        <w:trPr>
          <w:trHeight w:val="892"/>
        </w:trPr>
        <w:tc>
          <w:tcPr>
            <w:tcW w:w="2555" w:type="dxa"/>
            <w:shd w:val="clear" w:color="auto" w:fill="DEEAF6" w:themeFill="accent1" w:themeFillTint="33"/>
          </w:tcPr>
          <w:p w14:paraId="326A8377" w14:textId="2F2AA995" w:rsidR="003A1FBA" w:rsidRPr="003A1FBA" w:rsidRDefault="003A1FBA" w:rsidP="003A1FBA">
            <w:pPr>
              <w:autoSpaceDE w:val="0"/>
              <w:autoSpaceDN w:val="0"/>
              <w:adjustRightInd w:val="0"/>
              <w:spacing w:after="220" w:line="201" w:lineRule="atLeast"/>
              <w:rPr>
                <w:rFonts w:cstheme="minorHAnsi"/>
                <w:color w:val="000000"/>
                <w:szCs w:val="22"/>
              </w:rPr>
            </w:pPr>
          </w:p>
        </w:tc>
        <w:tc>
          <w:tcPr>
            <w:tcW w:w="1342" w:type="dxa"/>
            <w:shd w:val="clear" w:color="auto" w:fill="DEEAF6" w:themeFill="accent1" w:themeFillTint="33"/>
          </w:tcPr>
          <w:p w14:paraId="3B42459F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220" w:line="20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b/>
                <w:bCs/>
                <w:color w:val="000000"/>
                <w:szCs w:val="22"/>
              </w:rPr>
              <w:t xml:space="preserve">Q1 </w:t>
            </w:r>
          </w:p>
        </w:tc>
        <w:tc>
          <w:tcPr>
            <w:tcW w:w="1342" w:type="dxa"/>
            <w:shd w:val="clear" w:color="auto" w:fill="DEEAF6" w:themeFill="accent1" w:themeFillTint="33"/>
          </w:tcPr>
          <w:p w14:paraId="7875B2FC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220" w:line="20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b/>
                <w:bCs/>
                <w:color w:val="000000"/>
                <w:szCs w:val="22"/>
              </w:rPr>
              <w:t xml:space="preserve">Q2 </w:t>
            </w:r>
          </w:p>
        </w:tc>
        <w:tc>
          <w:tcPr>
            <w:tcW w:w="1342" w:type="dxa"/>
            <w:shd w:val="clear" w:color="auto" w:fill="DEEAF6" w:themeFill="accent1" w:themeFillTint="33"/>
          </w:tcPr>
          <w:p w14:paraId="56605FA9" w14:textId="630A5A77" w:rsidR="003A1FBA" w:rsidRPr="003A1FBA" w:rsidRDefault="003A1FBA" w:rsidP="003A1FBA">
            <w:pPr>
              <w:autoSpaceDE w:val="0"/>
              <w:autoSpaceDN w:val="0"/>
              <w:adjustRightInd w:val="0"/>
              <w:spacing w:after="220" w:line="20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b/>
                <w:bCs/>
                <w:color w:val="000000"/>
                <w:szCs w:val="22"/>
              </w:rPr>
              <w:t xml:space="preserve">Q3 </w:t>
            </w:r>
          </w:p>
        </w:tc>
        <w:tc>
          <w:tcPr>
            <w:tcW w:w="1342" w:type="dxa"/>
            <w:shd w:val="clear" w:color="auto" w:fill="DEEAF6" w:themeFill="accent1" w:themeFillTint="33"/>
          </w:tcPr>
          <w:p w14:paraId="4A42C8CF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220" w:line="20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b/>
                <w:bCs/>
                <w:color w:val="000000"/>
                <w:szCs w:val="22"/>
              </w:rPr>
              <w:t xml:space="preserve">Q4 </w:t>
            </w:r>
          </w:p>
        </w:tc>
        <w:tc>
          <w:tcPr>
            <w:tcW w:w="1343" w:type="dxa"/>
            <w:shd w:val="clear" w:color="auto" w:fill="DEEAF6" w:themeFill="accent1" w:themeFillTint="33"/>
          </w:tcPr>
          <w:p w14:paraId="7F1E950C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220" w:line="20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b/>
                <w:bCs/>
                <w:color w:val="000000"/>
                <w:szCs w:val="22"/>
              </w:rPr>
              <w:t xml:space="preserve">Q5 </w:t>
            </w:r>
          </w:p>
        </w:tc>
        <w:tc>
          <w:tcPr>
            <w:tcW w:w="1693" w:type="dxa"/>
            <w:shd w:val="clear" w:color="auto" w:fill="DEEAF6" w:themeFill="accent1" w:themeFillTint="33"/>
          </w:tcPr>
          <w:p w14:paraId="5348E41F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220" w:line="20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b/>
                <w:bCs/>
                <w:color w:val="000000"/>
                <w:szCs w:val="22"/>
              </w:rPr>
              <w:t xml:space="preserve">Ensemble </w:t>
            </w:r>
          </w:p>
        </w:tc>
      </w:tr>
      <w:tr w:rsidR="003A1FBA" w:rsidRPr="003A1FBA" w14:paraId="0928F5C2" w14:textId="77777777" w:rsidTr="003A1FBA">
        <w:tblPrEx>
          <w:tblCellMar>
            <w:top w:w="0" w:type="dxa"/>
            <w:bottom w:w="0" w:type="dxa"/>
          </w:tblCellMar>
        </w:tblPrEx>
        <w:trPr>
          <w:trHeight w:val="309"/>
        </w:trPr>
        <w:tc>
          <w:tcPr>
            <w:tcW w:w="2555" w:type="dxa"/>
          </w:tcPr>
          <w:p w14:paraId="59452495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b/>
                <w:bCs/>
                <w:color w:val="000000"/>
                <w:szCs w:val="22"/>
              </w:rPr>
              <w:t xml:space="preserve">Revenu disponible brut </w:t>
            </w:r>
          </w:p>
        </w:tc>
        <w:tc>
          <w:tcPr>
            <w:tcW w:w="1342" w:type="dxa"/>
          </w:tcPr>
          <w:p w14:paraId="4C994FC1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21 919 </w:t>
            </w:r>
          </w:p>
        </w:tc>
        <w:tc>
          <w:tcPr>
            <w:tcW w:w="1342" w:type="dxa"/>
          </w:tcPr>
          <w:p w14:paraId="309580F9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31 406 </w:t>
            </w:r>
          </w:p>
        </w:tc>
        <w:tc>
          <w:tcPr>
            <w:tcW w:w="1342" w:type="dxa"/>
          </w:tcPr>
          <w:p w14:paraId="72818C79" w14:textId="4552BBE6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39 822 </w:t>
            </w:r>
          </w:p>
        </w:tc>
        <w:tc>
          <w:tcPr>
            <w:tcW w:w="1342" w:type="dxa"/>
          </w:tcPr>
          <w:p w14:paraId="6EF6EAC0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50 424 </w:t>
            </w:r>
          </w:p>
        </w:tc>
        <w:tc>
          <w:tcPr>
            <w:tcW w:w="1343" w:type="dxa"/>
          </w:tcPr>
          <w:p w14:paraId="1198BE11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82 846 </w:t>
            </w:r>
          </w:p>
        </w:tc>
        <w:tc>
          <w:tcPr>
            <w:tcW w:w="1693" w:type="dxa"/>
          </w:tcPr>
          <w:p w14:paraId="2BC03E76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45 283 </w:t>
            </w:r>
          </w:p>
        </w:tc>
      </w:tr>
      <w:tr w:rsidR="003A1FBA" w:rsidRPr="003A1FBA" w14:paraId="2C5BD195" w14:textId="77777777" w:rsidTr="003A1FBA">
        <w:tblPrEx>
          <w:tblCellMar>
            <w:top w:w="0" w:type="dxa"/>
            <w:bottom w:w="0" w:type="dxa"/>
          </w:tblCellMar>
        </w:tblPrEx>
        <w:trPr>
          <w:trHeight w:val="309"/>
        </w:trPr>
        <w:tc>
          <w:tcPr>
            <w:tcW w:w="2555" w:type="dxa"/>
          </w:tcPr>
          <w:p w14:paraId="0368D27F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b/>
                <w:bCs/>
                <w:color w:val="000000"/>
                <w:szCs w:val="22"/>
              </w:rPr>
              <w:t xml:space="preserve">Dépense de consommation </w:t>
            </w:r>
          </w:p>
        </w:tc>
        <w:tc>
          <w:tcPr>
            <w:tcW w:w="1342" w:type="dxa"/>
          </w:tcPr>
          <w:p w14:paraId="675FFC65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21 258 </w:t>
            </w:r>
          </w:p>
        </w:tc>
        <w:tc>
          <w:tcPr>
            <w:tcW w:w="1342" w:type="dxa"/>
          </w:tcPr>
          <w:p w14:paraId="6862999D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29 571 </w:t>
            </w:r>
          </w:p>
        </w:tc>
        <w:tc>
          <w:tcPr>
            <w:tcW w:w="1342" w:type="dxa"/>
          </w:tcPr>
          <w:p w14:paraId="29ABFD98" w14:textId="0229C9DA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35 113 </w:t>
            </w:r>
          </w:p>
        </w:tc>
        <w:tc>
          <w:tcPr>
            <w:tcW w:w="1342" w:type="dxa"/>
          </w:tcPr>
          <w:p w14:paraId="462C76BA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43 665 </w:t>
            </w:r>
          </w:p>
        </w:tc>
        <w:tc>
          <w:tcPr>
            <w:tcW w:w="1343" w:type="dxa"/>
          </w:tcPr>
          <w:p w14:paraId="32D3947D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58 134 </w:t>
            </w:r>
          </w:p>
        </w:tc>
        <w:tc>
          <w:tcPr>
            <w:tcW w:w="1693" w:type="dxa"/>
          </w:tcPr>
          <w:p w14:paraId="79F44DDB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37 548 </w:t>
            </w:r>
          </w:p>
        </w:tc>
      </w:tr>
      <w:tr w:rsidR="003A1FBA" w:rsidRPr="003A1FBA" w14:paraId="20CF9A41" w14:textId="77777777" w:rsidTr="003A1FBA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2555" w:type="dxa"/>
          </w:tcPr>
          <w:p w14:paraId="598400E4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b/>
                <w:bCs/>
                <w:color w:val="000000"/>
                <w:szCs w:val="22"/>
              </w:rPr>
              <w:t xml:space="preserve">Épargne brute </w:t>
            </w:r>
          </w:p>
        </w:tc>
        <w:tc>
          <w:tcPr>
            <w:tcW w:w="1342" w:type="dxa"/>
          </w:tcPr>
          <w:p w14:paraId="38231AC6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661 </w:t>
            </w:r>
          </w:p>
        </w:tc>
        <w:tc>
          <w:tcPr>
            <w:tcW w:w="1342" w:type="dxa"/>
          </w:tcPr>
          <w:p w14:paraId="35C6DFA5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1 835 </w:t>
            </w:r>
          </w:p>
        </w:tc>
        <w:tc>
          <w:tcPr>
            <w:tcW w:w="1342" w:type="dxa"/>
          </w:tcPr>
          <w:p w14:paraId="297E7BE2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4 709 </w:t>
            </w:r>
          </w:p>
        </w:tc>
        <w:tc>
          <w:tcPr>
            <w:tcW w:w="1342" w:type="dxa"/>
          </w:tcPr>
          <w:p w14:paraId="746356C1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6 759 </w:t>
            </w:r>
          </w:p>
        </w:tc>
        <w:tc>
          <w:tcPr>
            <w:tcW w:w="1343" w:type="dxa"/>
          </w:tcPr>
          <w:p w14:paraId="22041929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24 712 </w:t>
            </w:r>
          </w:p>
        </w:tc>
        <w:tc>
          <w:tcPr>
            <w:tcW w:w="1693" w:type="dxa"/>
          </w:tcPr>
          <w:p w14:paraId="1245F4DE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7 735 </w:t>
            </w:r>
          </w:p>
        </w:tc>
      </w:tr>
      <w:tr w:rsidR="003A1FBA" w:rsidRPr="003A1FBA" w14:paraId="0264839C" w14:textId="77777777" w:rsidTr="003A1FBA">
        <w:tblPrEx>
          <w:tblCellMar>
            <w:top w:w="0" w:type="dxa"/>
            <w:bottom w:w="0" w:type="dxa"/>
          </w:tblCellMar>
        </w:tblPrEx>
        <w:trPr>
          <w:trHeight w:val="309"/>
        </w:trPr>
        <w:tc>
          <w:tcPr>
            <w:tcW w:w="2555" w:type="dxa"/>
          </w:tcPr>
          <w:p w14:paraId="575D6C87" w14:textId="77777777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b/>
                <w:bCs/>
                <w:color w:val="000000"/>
                <w:szCs w:val="22"/>
              </w:rPr>
              <w:t xml:space="preserve">Taux d’épargne (en %) </w:t>
            </w:r>
          </w:p>
        </w:tc>
        <w:tc>
          <w:tcPr>
            <w:tcW w:w="1342" w:type="dxa"/>
          </w:tcPr>
          <w:p w14:paraId="36196ABC" w14:textId="6462E475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3,01% </w:t>
            </w:r>
          </w:p>
        </w:tc>
        <w:tc>
          <w:tcPr>
            <w:tcW w:w="1342" w:type="dxa"/>
          </w:tcPr>
          <w:p w14:paraId="08207329" w14:textId="40E34567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5,84% </w:t>
            </w:r>
          </w:p>
        </w:tc>
        <w:tc>
          <w:tcPr>
            <w:tcW w:w="1342" w:type="dxa"/>
          </w:tcPr>
          <w:p w14:paraId="5FEE9C99" w14:textId="69EA65A5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11,83% </w:t>
            </w:r>
          </w:p>
        </w:tc>
        <w:tc>
          <w:tcPr>
            <w:tcW w:w="1342" w:type="dxa"/>
          </w:tcPr>
          <w:p w14:paraId="5FFA75F8" w14:textId="604A53FD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13,40% </w:t>
            </w:r>
          </w:p>
        </w:tc>
        <w:tc>
          <w:tcPr>
            <w:tcW w:w="1343" w:type="dxa"/>
          </w:tcPr>
          <w:p w14:paraId="268C8383" w14:textId="1E850414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29,83% </w:t>
            </w:r>
          </w:p>
        </w:tc>
        <w:tc>
          <w:tcPr>
            <w:tcW w:w="1693" w:type="dxa"/>
          </w:tcPr>
          <w:p w14:paraId="779DF8F3" w14:textId="6FFA2DB5" w:rsidR="003A1FBA" w:rsidRPr="003A1FBA" w:rsidRDefault="003A1FBA" w:rsidP="003A1FBA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3A1FBA">
              <w:rPr>
                <w:rFonts w:cstheme="minorHAnsi"/>
                <w:color w:val="000000"/>
                <w:szCs w:val="22"/>
              </w:rPr>
              <w:t xml:space="preserve">17,08% </w:t>
            </w:r>
          </w:p>
        </w:tc>
      </w:tr>
    </w:tbl>
    <w:p w14:paraId="373FE616" w14:textId="192ECCBA" w:rsidR="003A1FBA" w:rsidRPr="003A1FBA" w:rsidRDefault="003A1FBA" w:rsidP="003A1FBA">
      <w:pPr>
        <w:jc w:val="right"/>
        <w:rPr>
          <w:i/>
          <w:iCs/>
          <w:sz w:val="16"/>
          <w:szCs w:val="16"/>
        </w:rPr>
      </w:pPr>
      <w:r w:rsidRPr="003A1FBA">
        <w:rPr>
          <w:i/>
          <w:iCs/>
          <w:sz w:val="16"/>
          <w:szCs w:val="16"/>
        </w:rPr>
        <w:t xml:space="preserve">Source : </w:t>
      </w:r>
      <w:r w:rsidRPr="003A1FBA">
        <w:rPr>
          <w:rStyle w:val="A1"/>
          <w:i/>
          <w:iCs/>
          <w:sz w:val="16"/>
          <w:szCs w:val="16"/>
        </w:rPr>
        <w:t>Données 2011, INSEE 2017</w:t>
      </w:r>
    </w:p>
    <w:p w14:paraId="488922EC" w14:textId="34A72EDD" w:rsidR="00B44F0B" w:rsidRDefault="000F58D6" w:rsidP="00B44F0B">
      <w:pPr>
        <w:rPr>
          <w:b/>
          <w:bCs/>
          <w:sz w:val="28"/>
          <w:szCs w:val="24"/>
        </w:rPr>
      </w:pPr>
      <w:r w:rsidRPr="00740405">
        <w:rPr>
          <w:i/>
          <w:iCs/>
          <w:sz w:val="16"/>
          <w:szCs w:val="16"/>
        </w:rPr>
        <w:t xml:space="preserve"> </w:t>
      </w:r>
      <w:r w:rsidR="00805E16">
        <w:rPr>
          <w:b/>
          <w:bCs/>
        </w:rPr>
        <w:br w:type="page"/>
      </w:r>
      <w:r w:rsidR="00A400CF" w:rsidRPr="002238DE">
        <w:rPr>
          <w:b/>
          <w:bCs/>
          <w:noProof/>
          <w:sz w:val="28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DEDF2E" wp14:editId="58EB73F1">
                <wp:simplePos x="0" y="0"/>
                <wp:positionH relativeFrom="margin">
                  <wp:posOffset>-114300</wp:posOffset>
                </wp:positionH>
                <wp:positionV relativeFrom="paragraph">
                  <wp:posOffset>13335</wp:posOffset>
                </wp:positionV>
                <wp:extent cx="7200900" cy="619125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900" cy="6191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D849E9" id="Rectangle 7" o:spid="_x0000_s1026" style="position:absolute;margin-left:-9pt;margin-top:1.05pt;width:567pt;height:487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" filled="f" strokecolor="black [3213]" strokeweight="1pt">
                <w10:wrap anchorx="margin"/>
              </v:rect>
            </w:pict>
          </mc:Fallback>
        </mc:AlternateContent>
      </w:r>
      <w:r w:rsidR="00B44F0B">
        <w:rPr>
          <w:b/>
          <w:bCs/>
          <w:sz w:val="28"/>
          <w:szCs w:val="24"/>
        </w:rPr>
        <w:t xml:space="preserve">Annexe </w:t>
      </w:r>
      <w:r w:rsidR="00B44F0B">
        <w:rPr>
          <w:b/>
          <w:bCs/>
          <w:sz w:val="28"/>
          <w:szCs w:val="24"/>
        </w:rPr>
        <w:t>3</w:t>
      </w:r>
      <w:r w:rsidR="00B44F0B">
        <w:rPr>
          <w:b/>
          <w:bCs/>
          <w:sz w:val="28"/>
          <w:szCs w:val="24"/>
        </w:rPr>
        <w:t> :</w:t>
      </w:r>
      <w:r w:rsidR="00B44F0B" w:rsidRPr="003A1FBA">
        <w:t xml:space="preserve"> </w:t>
      </w:r>
      <w:r w:rsidR="00B44F0B" w:rsidRPr="003A1FBA">
        <w:rPr>
          <w:b/>
          <w:bCs/>
          <w:sz w:val="28"/>
          <w:szCs w:val="24"/>
        </w:rPr>
        <w:t>Montant moyen annuel par ménage en 2011 en euros</w:t>
      </w:r>
      <w:r w:rsidR="00B44F0B">
        <w:rPr>
          <w:b/>
          <w:bCs/>
          <w:sz w:val="28"/>
          <w:szCs w:val="24"/>
        </w:rPr>
        <w:t xml:space="preserve"> – autres critères</w:t>
      </w:r>
    </w:p>
    <w:tbl>
      <w:tblPr>
        <w:tblW w:w="1112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1"/>
        <w:gridCol w:w="1181"/>
        <w:gridCol w:w="1181"/>
        <w:gridCol w:w="1182"/>
        <w:gridCol w:w="1181"/>
        <w:gridCol w:w="1181"/>
        <w:gridCol w:w="1182"/>
        <w:gridCol w:w="1669"/>
      </w:tblGrid>
      <w:tr w:rsidR="00B44F0B" w:rsidRPr="00B44F0B" w14:paraId="0522F9B7" w14:textId="77777777" w:rsidTr="00B44F0B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2371" w:type="dxa"/>
            <w:shd w:val="clear" w:color="auto" w:fill="DEEAF6" w:themeFill="accent1" w:themeFillTint="33"/>
          </w:tcPr>
          <w:p w14:paraId="664BBABA" w14:textId="79277726" w:rsidR="00B44F0B" w:rsidRPr="00B44F0B" w:rsidRDefault="00B44F0B" w:rsidP="00B44F0B">
            <w:pPr>
              <w:autoSpaceDE w:val="0"/>
              <w:autoSpaceDN w:val="0"/>
              <w:adjustRightInd w:val="0"/>
              <w:spacing w:after="220" w:line="201" w:lineRule="atLeast"/>
              <w:rPr>
                <w:rFonts w:cstheme="minorHAnsi"/>
                <w:color w:val="000000"/>
                <w:szCs w:val="22"/>
              </w:rPr>
            </w:pPr>
          </w:p>
        </w:tc>
        <w:tc>
          <w:tcPr>
            <w:tcW w:w="1181" w:type="dxa"/>
            <w:shd w:val="clear" w:color="auto" w:fill="DEEAF6" w:themeFill="accent1" w:themeFillTint="33"/>
          </w:tcPr>
          <w:p w14:paraId="0247542E" w14:textId="35C793B8" w:rsidR="00B44F0B" w:rsidRPr="00B44F0B" w:rsidRDefault="00B44F0B" w:rsidP="00B44F0B">
            <w:pPr>
              <w:autoSpaceDE w:val="0"/>
              <w:autoSpaceDN w:val="0"/>
              <w:adjustRightInd w:val="0"/>
              <w:spacing w:after="220" w:line="20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Moins de 30 ans </w:t>
            </w:r>
          </w:p>
        </w:tc>
        <w:tc>
          <w:tcPr>
            <w:tcW w:w="1181" w:type="dxa"/>
            <w:shd w:val="clear" w:color="auto" w:fill="DEEAF6" w:themeFill="accent1" w:themeFillTint="33"/>
          </w:tcPr>
          <w:p w14:paraId="05751DB0" w14:textId="1A2B291B" w:rsidR="00B44F0B" w:rsidRPr="00B44F0B" w:rsidRDefault="00B44F0B" w:rsidP="00B44F0B">
            <w:pPr>
              <w:autoSpaceDE w:val="0"/>
              <w:autoSpaceDN w:val="0"/>
              <w:adjustRightInd w:val="0"/>
              <w:spacing w:after="220" w:line="20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30-39 ans </w:t>
            </w:r>
          </w:p>
        </w:tc>
        <w:tc>
          <w:tcPr>
            <w:tcW w:w="1182" w:type="dxa"/>
            <w:shd w:val="clear" w:color="auto" w:fill="DEEAF6" w:themeFill="accent1" w:themeFillTint="33"/>
          </w:tcPr>
          <w:p w14:paraId="7900AC86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220" w:line="20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40-49 ans </w:t>
            </w:r>
          </w:p>
        </w:tc>
        <w:tc>
          <w:tcPr>
            <w:tcW w:w="1181" w:type="dxa"/>
            <w:shd w:val="clear" w:color="auto" w:fill="DEEAF6" w:themeFill="accent1" w:themeFillTint="33"/>
          </w:tcPr>
          <w:p w14:paraId="29E77B5F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220" w:line="20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50-59 ans </w:t>
            </w:r>
          </w:p>
        </w:tc>
        <w:tc>
          <w:tcPr>
            <w:tcW w:w="1181" w:type="dxa"/>
            <w:shd w:val="clear" w:color="auto" w:fill="DEEAF6" w:themeFill="accent1" w:themeFillTint="33"/>
          </w:tcPr>
          <w:p w14:paraId="3074A907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220" w:line="20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60-69 ans </w:t>
            </w:r>
          </w:p>
        </w:tc>
        <w:tc>
          <w:tcPr>
            <w:tcW w:w="1182" w:type="dxa"/>
            <w:shd w:val="clear" w:color="auto" w:fill="DEEAF6" w:themeFill="accent1" w:themeFillTint="33"/>
          </w:tcPr>
          <w:p w14:paraId="06855042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220" w:line="20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70 ans et plus </w:t>
            </w:r>
          </w:p>
        </w:tc>
        <w:tc>
          <w:tcPr>
            <w:tcW w:w="1669" w:type="dxa"/>
            <w:shd w:val="clear" w:color="auto" w:fill="DEEAF6" w:themeFill="accent1" w:themeFillTint="33"/>
          </w:tcPr>
          <w:p w14:paraId="436497DE" w14:textId="0BAFD341" w:rsidR="00B44F0B" w:rsidRPr="00B44F0B" w:rsidRDefault="00B44F0B" w:rsidP="00B44F0B">
            <w:pPr>
              <w:autoSpaceDE w:val="0"/>
              <w:autoSpaceDN w:val="0"/>
              <w:adjustRightInd w:val="0"/>
              <w:spacing w:after="220" w:line="20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Ensemble </w:t>
            </w:r>
          </w:p>
        </w:tc>
      </w:tr>
      <w:tr w:rsidR="00B44F0B" w:rsidRPr="00B44F0B" w14:paraId="0B06C424" w14:textId="77777777" w:rsidTr="00B44F0B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2371" w:type="dxa"/>
          </w:tcPr>
          <w:p w14:paraId="29D2A1B2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Revenu disponible brut </w:t>
            </w:r>
          </w:p>
        </w:tc>
        <w:tc>
          <w:tcPr>
            <w:tcW w:w="1181" w:type="dxa"/>
          </w:tcPr>
          <w:p w14:paraId="1091F6B2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30 100 </w:t>
            </w:r>
          </w:p>
        </w:tc>
        <w:tc>
          <w:tcPr>
            <w:tcW w:w="1181" w:type="dxa"/>
          </w:tcPr>
          <w:p w14:paraId="4AB1B3A6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48 148 </w:t>
            </w:r>
          </w:p>
        </w:tc>
        <w:tc>
          <w:tcPr>
            <w:tcW w:w="1182" w:type="dxa"/>
          </w:tcPr>
          <w:p w14:paraId="1E45CEDC" w14:textId="597A0DC9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56 081 </w:t>
            </w:r>
          </w:p>
        </w:tc>
        <w:tc>
          <w:tcPr>
            <w:tcW w:w="1181" w:type="dxa"/>
          </w:tcPr>
          <w:p w14:paraId="771D8272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54 975 </w:t>
            </w:r>
          </w:p>
        </w:tc>
        <w:tc>
          <w:tcPr>
            <w:tcW w:w="1181" w:type="dxa"/>
          </w:tcPr>
          <w:p w14:paraId="422235EB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43 330 </w:t>
            </w:r>
          </w:p>
        </w:tc>
        <w:tc>
          <w:tcPr>
            <w:tcW w:w="1182" w:type="dxa"/>
          </w:tcPr>
          <w:p w14:paraId="357B3E6E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33 503 </w:t>
            </w:r>
          </w:p>
        </w:tc>
        <w:tc>
          <w:tcPr>
            <w:tcW w:w="1669" w:type="dxa"/>
          </w:tcPr>
          <w:p w14:paraId="5416D56E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45 283 </w:t>
            </w:r>
          </w:p>
        </w:tc>
      </w:tr>
      <w:tr w:rsidR="00B44F0B" w:rsidRPr="00B44F0B" w14:paraId="15527B66" w14:textId="77777777" w:rsidTr="00B44F0B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2371" w:type="dxa"/>
          </w:tcPr>
          <w:p w14:paraId="1D9F5120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Dépense de consommation </w:t>
            </w:r>
          </w:p>
        </w:tc>
        <w:tc>
          <w:tcPr>
            <w:tcW w:w="1181" w:type="dxa"/>
          </w:tcPr>
          <w:p w14:paraId="03F80D5F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29 198 </w:t>
            </w:r>
          </w:p>
        </w:tc>
        <w:tc>
          <w:tcPr>
            <w:tcW w:w="1181" w:type="dxa"/>
          </w:tcPr>
          <w:p w14:paraId="5E25B9B2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42 412 </w:t>
            </w:r>
          </w:p>
        </w:tc>
        <w:tc>
          <w:tcPr>
            <w:tcW w:w="1182" w:type="dxa"/>
          </w:tcPr>
          <w:p w14:paraId="6851C6BD" w14:textId="4250E67D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44 774 </w:t>
            </w:r>
          </w:p>
        </w:tc>
        <w:tc>
          <w:tcPr>
            <w:tcW w:w="1181" w:type="dxa"/>
          </w:tcPr>
          <w:p w14:paraId="24424223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41 422 </w:t>
            </w:r>
          </w:p>
        </w:tc>
        <w:tc>
          <w:tcPr>
            <w:tcW w:w="1181" w:type="dxa"/>
          </w:tcPr>
          <w:p w14:paraId="1CF00DC3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38 446 </w:t>
            </w:r>
          </w:p>
        </w:tc>
        <w:tc>
          <w:tcPr>
            <w:tcW w:w="1182" w:type="dxa"/>
          </w:tcPr>
          <w:p w14:paraId="404CAB89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27 086 </w:t>
            </w:r>
          </w:p>
        </w:tc>
        <w:tc>
          <w:tcPr>
            <w:tcW w:w="1669" w:type="dxa"/>
          </w:tcPr>
          <w:p w14:paraId="585D7B5D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37 548 </w:t>
            </w:r>
          </w:p>
        </w:tc>
      </w:tr>
      <w:tr w:rsidR="00B44F0B" w:rsidRPr="00B44F0B" w14:paraId="04A6C865" w14:textId="77777777" w:rsidTr="00B44F0B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2371" w:type="dxa"/>
          </w:tcPr>
          <w:p w14:paraId="1854BF04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Épargne brute </w:t>
            </w:r>
          </w:p>
        </w:tc>
        <w:tc>
          <w:tcPr>
            <w:tcW w:w="1181" w:type="dxa"/>
          </w:tcPr>
          <w:p w14:paraId="0630B075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902 </w:t>
            </w:r>
          </w:p>
        </w:tc>
        <w:tc>
          <w:tcPr>
            <w:tcW w:w="1181" w:type="dxa"/>
          </w:tcPr>
          <w:p w14:paraId="14EE2E3B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5 736 </w:t>
            </w:r>
          </w:p>
        </w:tc>
        <w:tc>
          <w:tcPr>
            <w:tcW w:w="1182" w:type="dxa"/>
          </w:tcPr>
          <w:p w14:paraId="107049FB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11 307 </w:t>
            </w:r>
          </w:p>
        </w:tc>
        <w:tc>
          <w:tcPr>
            <w:tcW w:w="1181" w:type="dxa"/>
          </w:tcPr>
          <w:p w14:paraId="3ED2CCAB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13 553 </w:t>
            </w:r>
          </w:p>
        </w:tc>
        <w:tc>
          <w:tcPr>
            <w:tcW w:w="1181" w:type="dxa"/>
          </w:tcPr>
          <w:p w14:paraId="38029596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4 884 </w:t>
            </w:r>
          </w:p>
        </w:tc>
        <w:tc>
          <w:tcPr>
            <w:tcW w:w="1182" w:type="dxa"/>
          </w:tcPr>
          <w:p w14:paraId="563170AF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6 418 </w:t>
            </w:r>
          </w:p>
        </w:tc>
        <w:tc>
          <w:tcPr>
            <w:tcW w:w="1669" w:type="dxa"/>
          </w:tcPr>
          <w:p w14:paraId="41BCD792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7 735 </w:t>
            </w:r>
          </w:p>
        </w:tc>
      </w:tr>
      <w:tr w:rsidR="00B44F0B" w:rsidRPr="00B44F0B" w14:paraId="7E7195F6" w14:textId="77777777" w:rsidTr="00B44F0B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2371" w:type="dxa"/>
          </w:tcPr>
          <w:p w14:paraId="0D6281B1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Taux d’épargne (en %) </w:t>
            </w:r>
          </w:p>
        </w:tc>
        <w:tc>
          <w:tcPr>
            <w:tcW w:w="1181" w:type="dxa"/>
          </w:tcPr>
          <w:p w14:paraId="17162338" w14:textId="1A2A509A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3,00% </w:t>
            </w:r>
          </w:p>
        </w:tc>
        <w:tc>
          <w:tcPr>
            <w:tcW w:w="1181" w:type="dxa"/>
          </w:tcPr>
          <w:p w14:paraId="4751CC7F" w14:textId="4F7A5290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11,91% </w:t>
            </w:r>
          </w:p>
        </w:tc>
        <w:tc>
          <w:tcPr>
            <w:tcW w:w="1182" w:type="dxa"/>
          </w:tcPr>
          <w:p w14:paraId="281F03F9" w14:textId="22BE2C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20,16% </w:t>
            </w:r>
          </w:p>
        </w:tc>
        <w:tc>
          <w:tcPr>
            <w:tcW w:w="1181" w:type="dxa"/>
          </w:tcPr>
          <w:p w14:paraId="48E82725" w14:textId="74BC9603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24,65% </w:t>
            </w:r>
          </w:p>
        </w:tc>
        <w:tc>
          <w:tcPr>
            <w:tcW w:w="1181" w:type="dxa"/>
          </w:tcPr>
          <w:p w14:paraId="0D329F6B" w14:textId="01D3E78E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11,27% </w:t>
            </w:r>
          </w:p>
        </w:tc>
        <w:tc>
          <w:tcPr>
            <w:tcW w:w="1182" w:type="dxa"/>
          </w:tcPr>
          <w:p w14:paraId="6A1A91B4" w14:textId="3966ECCE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19,15% </w:t>
            </w:r>
          </w:p>
        </w:tc>
        <w:tc>
          <w:tcPr>
            <w:tcW w:w="1669" w:type="dxa"/>
          </w:tcPr>
          <w:p w14:paraId="18548B52" w14:textId="3C9779D9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>17,08%</w:t>
            </w:r>
          </w:p>
        </w:tc>
      </w:tr>
    </w:tbl>
    <w:p w14:paraId="35637F36" w14:textId="77777777" w:rsidR="00B44F0B" w:rsidRDefault="00B44F0B" w:rsidP="00B44F0B">
      <w:pPr>
        <w:rPr>
          <w:b/>
          <w:bCs/>
          <w:sz w:val="28"/>
          <w:szCs w:val="24"/>
        </w:rPr>
      </w:pPr>
    </w:p>
    <w:tbl>
      <w:tblPr>
        <w:tblW w:w="112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80"/>
        <w:gridCol w:w="942"/>
        <w:gridCol w:w="942"/>
        <w:gridCol w:w="942"/>
        <w:gridCol w:w="943"/>
        <w:gridCol w:w="942"/>
        <w:gridCol w:w="942"/>
        <w:gridCol w:w="943"/>
        <w:gridCol w:w="942"/>
        <w:gridCol w:w="942"/>
        <w:gridCol w:w="943"/>
      </w:tblGrid>
      <w:tr w:rsidR="00B44F0B" w:rsidRPr="00B44F0B" w14:paraId="4D555BB7" w14:textId="77777777" w:rsidTr="00B44F0B">
        <w:tblPrEx>
          <w:tblCellMar>
            <w:top w:w="0" w:type="dxa"/>
            <w:bottom w:w="0" w:type="dxa"/>
          </w:tblCellMar>
        </w:tblPrEx>
        <w:trPr>
          <w:cantSplit/>
          <w:trHeight w:val="3051"/>
        </w:trPr>
        <w:tc>
          <w:tcPr>
            <w:tcW w:w="1780" w:type="dxa"/>
            <w:shd w:val="clear" w:color="auto" w:fill="DEEAF6" w:themeFill="accent1" w:themeFillTint="33"/>
          </w:tcPr>
          <w:p w14:paraId="7B8C7894" w14:textId="53B53CDA" w:rsidR="00B44F0B" w:rsidRPr="00B44F0B" w:rsidRDefault="00B44F0B" w:rsidP="00B44F0B">
            <w:pPr>
              <w:autoSpaceDE w:val="0"/>
              <w:autoSpaceDN w:val="0"/>
              <w:adjustRightInd w:val="0"/>
              <w:spacing w:after="220" w:line="201" w:lineRule="atLeast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shd w:val="clear" w:color="auto" w:fill="DEEAF6" w:themeFill="accent1" w:themeFillTint="33"/>
            <w:textDirection w:val="tbRl"/>
          </w:tcPr>
          <w:p w14:paraId="56FACA63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220" w:line="201" w:lineRule="atLeast"/>
              <w:ind w:left="113" w:right="113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Agriculteurs </w:t>
            </w:r>
          </w:p>
        </w:tc>
        <w:tc>
          <w:tcPr>
            <w:tcW w:w="942" w:type="dxa"/>
            <w:shd w:val="clear" w:color="auto" w:fill="DEEAF6" w:themeFill="accent1" w:themeFillTint="33"/>
            <w:textDirection w:val="tbRl"/>
          </w:tcPr>
          <w:p w14:paraId="6E332548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220" w:line="201" w:lineRule="atLeast"/>
              <w:ind w:left="113" w:right="113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Artisans, commerçants, chefs d’entreprises et professions libérales </w:t>
            </w:r>
          </w:p>
        </w:tc>
        <w:tc>
          <w:tcPr>
            <w:tcW w:w="942" w:type="dxa"/>
            <w:shd w:val="clear" w:color="auto" w:fill="DEEAF6" w:themeFill="accent1" w:themeFillTint="33"/>
            <w:textDirection w:val="tbRl"/>
          </w:tcPr>
          <w:p w14:paraId="3B2A3BE2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220" w:line="201" w:lineRule="atLeast"/>
              <w:ind w:left="113" w:right="113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Cadres </w:t>
            </w:r>
          </w:p>
        </w:tc>
        <w:tc>
          <w:tcPr>
            <w:tcW w:w="943" w:type="dxa"/>
            <w:shd w:val="clear" w:color="auto" w:fill="DEEAF6" w:themeFill="accent1" w:themeFillTint="33"/>
            <w:textDirection w:val="tbRl"/>
          </w:tcPr>
          <w:p w14:paraId="5E482956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220" w:line="201" w:lineRule="atLeast"/>
              <w:ind w:left="113" w:right="113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Professions intermédiaires </w:t>
            </w:r>
          </w:p>
        </w:tc>
        <w:tc>
          <w:tcPr>
            <w:tcW w:w="942" w:type="dxa"/>
            <w:shd w:val="clear" w:color="auto" w:fill="DEEAF6" w:themeFill="accent1" w:themeFillTint="33"/>
            <w:textDirection w:val="tbRl"/>
          </w:tcPr>
          <w:p w14:paraId="1166B916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220" w:line="201" w:lineRule="atLeast"/>
              <w:ind w:left="113" w:right="113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Employés </w:t>
            </w:r>
          </w:p>
        </w:tc>
        <w:tc>
          <w:tcPr>
            <w:tcW w:w="942" w:type="dxa"/>
            <w:shd w:val="clear" w:color="auto" w:fill="DEEAF6" w:themeFill="accent1" w:themeFillTint="33"/>
            <w:textDirection w:val="tbRl"/>
          </w:tcPr>
          <w:p w14:paraId="2CD74999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220" w:line="201" w:lineRule="atLeast"/>
              <w:ind w:left="113" w:right="113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Ouvriers </w:t>
            </w:r>
          </w:p>
        </w:tc>
        <w:tc>
          <w:tcPr>
            <w:tcW w:w="943" w:type="dxa"/>
            <w:shd w:val="clear" w:color="auto" w:fill="DEEAF6" w:themeFill="accent1" w:themeFillTint="33"/>
            <w:textDirection w:val="tbRl"/>
          </w:tcPr>
          <w:p w14:paraId="5A2F4CCB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220" w:line="201" w:lineRule="atLeast"/>
              <w:ind w:left="113" w:right="113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Ensemble actifs </w:t>
            </w:r>
          </w:p>
        </w:tc>
        <w:tc>
          <w:tcPr>
            <w:tcW w:w="942" w:type="dxa"/>
            <w:shd w:val="clear" w:color="auto" w:fill="DEEAF6" w:themeFill="accent1" w:themeFillTint="33"/>
            <w:textDirection w:val="tbRl"/>
          </w:tcPr>
          <w:p w14:paraId="63A1FC42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220" w:line="201" w:lineRule="atLeast"/>
              <w:ind w:left="113" w:right="113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Ensemble retraités </w:t>
            </w:r>
          </w:p>
        </w:tc>
        <w:tc>
          <w:tcPr>
            <w:tcW w:w="942" w:type="dxa"/>
            <w:shd w:val="clear" w:color="auto" w:fill="DEEAF6" w:themeFill="accent1" w:themeFillTint="33"/>
            <w:textDirection w:val="tbRl"/>
          </w:tcPr>
          <w:p w14:paraId="58575B1F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220" w:line="201" w:lineRule="atLeast"/>
              <w:ind w:left="113" w:right="113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Autres inactifs </w:t>
            </w:r>
          </w:p>
        </w:tc>
        <w:tc>
          <w:tcPr>
            <w:tcW w:w="943" w:type="dxa"/>
            <w:shd w:val="clear" w:color="auto" w:fill="DEEAF6" w:themeFill="accent1" w:themeFillTint="33"/>
            <w:textDirection w:val="tbRl"/>
          </w:tcPr>
          <w:p w14:paraId="2A4FAABA" w14:textId="2B96CFF9" w:rsidR="00B44F0B" w:rsidRPr="00B44F0B" w:rsidRDefault="00B44F0B" w:rsidP="00B44F0B">
            <w:pPr>
              <w:autoSpaceDE w:val="0"/>
              <w:autoSpaceDN w:val="0"/>
              <w:adjustRightInd w:val="0"/>
              <w:spacing w:after="220" w:line="201" w:lineRule="atLeast"/>
              <w:ind w:left="113" w:right="113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Ensemble </w:t>
            </w:r>
          </w:p>
        </w:tc>
      </w:tr>
      <w:tr w:rsidR="00B44F0B" w:rsidRPr="00B44F0B" w14:paraId="7DA17E96" w14:textId="77777777" w:rsidTr="00B44F0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780" w:type="dxa"/>
          </w:tcPr>
          <w:p w14:paraId="5EAC5385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Revenu disponible brut </w:t>
            </w:r>
          </w:p>
        </w:tc>
        <w:tc>
          <w:tcPr>
            <w:tcW w:w="942" w:type="dxa"/>
          </w:tcPr>
          <w:p w14:paraId="140CFF91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50 441 </w:t>
            </w:r>
          </w:p>
        </w:tc>
        <w:tc>
          <w:tcPr>
            <w:tcW w:w="942" w:type="dxa"/>
          </w:tcPr>
          <w:p w14:paraId="51B526E1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86 827 </w:t>
            </w:r>
          </w:p>
        </w:tc>
        <w:tc>
          <w:tcPr>
            <w:tcW w:w="942" w:type="dxa"/>
          </w:tcPr>
          <w:p w14:paraId="2DA17156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75 775 </w:t>
            </w:r>
          </w:p>
        </w:tc>
        <w:tc>
          <w:tcPr>
            <w:tcW w:w="943" w:type="dxa"/>
          </w:tcPr>
          <w:p w14:paraId="2585C3CA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52 120 </w:t>
            </w:r>
          </w:p>
        </w:tc>
        <w:tc>
          <w:tcPr>
            <w:tcW w:w="942" w:type="dxa"/>
          </w:tcPr>
          <w:p w14:paraId="17B4E42B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37 930 </w:t>
            </w:r>
          </w:p>
        </w:tc>
        <w:tc>
          <w:tcPr>
            <w:tcW w:w="942" w:type="dxa"/>
          </w:tcPr>
          <w:p w14:paraId="11A1F98D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41 101 </w:t>
            </w:r>
          </w:p>
        </w:tc>
        <w:tc>
          <w:tcPr>
            <w:tcW w:w="943" w:type="dxa"/>
          </w:tcPr>
          <w:p w14:paraId="0DEF44FB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54 233 </w:t>
            </w:r>
          </w:p>
        </w:tc>
        <w:tc>
          <w:tcPr>
            <w:tcW w:w="942" w:type="dxa"/>
          </w:tcPr>
          <w:p w14:paraId="2F3611D9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33 178 </w:t>
            </w:r>
          </w:p>
        </w:tc>
        <w:tc>
          <w:tcPr>
            <w:tcW w:w="942" w:type="dxa"/>
          </w:tcPr>
          <w:p w14:paraId="4857824E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25 890 </w:t>
            </w:r>
          </w:p>
        </w:tc>
        <w:tc>
          <w:tcPr>
            <w:tcW w:w="943" w:type="dxa"/>
          </w:tcPr>
          <w:p w14:paraId="602EC752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45 283 </w:t>
            </w:r>
          </w:p>
        </w:tc>
      </w:tr>
      <w:tr w:rsidR="00B44F0B" w:rsidRPr="00B44F0B" w14:paraId="63137B0E" w14:textId="77777777" w:rsidTr="00B44F0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780" w:type="dxa"/>
          </w:tcPr>
          <w:p w14:paraId="37822C9D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Dépense de consommation </w:t>
            </w:r>
          </w:p>
        </w:tc>
        <w:tc>
          <w:tcPr>
            <w:tcW w:w="942" w:type="dxa"/>
          </w:tcPr>
          <w:p w14:paraId="17F66113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39 370 </w:t>
            </w:r>
          </w:p>
        </w:tc>
        <w:tc>
          <w:tcPr>
            <w:tcW w:w="942" w:type="dxa"/>
          </w:tcPr>
          <w:p w14:paraId="61F6C7CE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55 423 </w:t>
            </w:r>
          </w:p>
        </w:tc>
        <w:tc>
          <w:tcPr>
            <w:tcW w:w="942" w:type="dxa"/>
          </w:tcPr>
          <w:p w14:paraId="535C02A0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59 358 </w:t>
            </w:r>
          </w:p>
        </w:tc>
        <w:tc>
          <w:tcPr>
            <w:tcW w:w="943" w:type="dxa"/>
          </w:tcPr>
          <w:p w14:paraId="0BDD9755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44 724 </w:t>
            </w:r>
          </w:p>
        </w:tc>
        <w:tc>
          <w:tcPr>
            <w:tcW w:w="942" w:type="dxa"/>
          </w:tcPr>
          <w:p w14:paraId="4F035E3C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33 796 </w:t>
            </w:r>
          </w:p>
        </w:tc>
        <w:tc>
          <w:tcPr>
            <w:tcW w:w="942" w:type="dxa"/>
          </w:tcPr>
          <w:p w14:paraId="4F431324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34 011 </w:t>
            </w:r>
          </w:p>
        </w:tc>
        <w:tc>
          <w:tcPr>
            <w:tcW w:w="943" w:type="dxa"/>
          </w:tcPr>
          <w:p w14:paraId="5B4222C5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43 377 </w:t>
            </w:r>
          </w:p>
        </w:tc>
        <w:tc>
          <w:tcPr>
            <w:tcW w:w="942" w:type="dxa"/>
          </w:tcPr>
          <w:p w14:paraId="133CBF7A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30 896 </w:t>
            </w:r>
          </w:p>
        </w:tc>
        <w:tc>
          <w:tcPr>
            <w:tcW w:w="942" w:type="dxa"/>
          </w:tcPr>
          <w:p w14:paraId="1C8A71FB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20 372 </w:t>
            </w:r>
          </w:p>
        </w:tc>
        <w:tc>
          <w:tcPr>
            <w:tcW w:w="943" w:type="dxa"/>
          </w:tcPr>
          <w:p w14:paraId="064368AD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37 548 </w:t>
            </w:r>
          </w:p>
        </w:tc>
      </w:tr>
      <w:tr w:rsidR="00B44F0B" w:rsidRPr="00B44F0B" w14:paraId="1C6E9B6C" w14:textId="77777777" w:rsidTr="00B44F0B">
        <w:tblPrEx>
          <w:tblCellMar>
            <w:top w:w="0" w:type="dxa"/>
            <w:bottom w:w="0" w:type="dxa"/>
          </w:tblCellMar>
        </w:tblPrEx>
        <w:trPr>
          <w:trHeight w:val="148"/>
        </w:trPr>
        <w:tc>
          <w:tcPr>
            <w:tcW w:w="1780" w:type="dxa"/>
          </w:tcPr>
          <w:p w14:paraId="7D64A97D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Épargne brute </w:t>
            </w:r>
          </w:p>
        </w:tc>
        <w:tc>
          <w:tcPr>
            <w:tcW w:w="942" w:type="dxa"/>
          </w:tcPr>
          <w:p w14:paraId="19C725B6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11 071 </w:t>
            </w:r>
          </w:p>
        </w:tc>
        <w:tc>
          <w:tcPr>
            <w:tcW w:w="942" w:type="dxa"/>
          </w:tcPr>
          <w:p w14:paraId="07FE6FFE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31 405 </w:t>
            </w:r>
          </w:p>
        </w:tc>
        <w:tc>
          <w:tcPr>
            <w:tcW w:w="942" w:type="dxa"/>
          </w:tcPr>
          <w:p w14:paraId="471B1194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16 418 </w:t>
            </w:r>
          </w:p>
        </w:tc>
        <w:tc>
          <w:tcPr>
            <w:tcW w:w="943" w:type="dxa"/>
          </w:tcPr>
          <w:p w14:paraId="747E3E58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7 396 </w:t>
            </w:r>
          </w:p>
        </w:tc>
        <w:tc>
          <w:tcPr>
            <w:tcW w:w="942" w:type="dxa"/>
          </w:tcPr>
          <w:p w14:paraId="2A2A9F2B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4 133 </w:t>
            </w:r>
          </w:p>
        </w:tc>
        <w:tc>
          <w:tcPr>
            <w:tcW w:w="942" w:type="dxa"/>
          </w:tcPr>
          <w:p w14:paraId="40290F5C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7 090 </w:t>
            </w:r>
          </w:p>
        </w:tc>
        <w:tc>
          <w:tcPr>
            <w:tcW w:w="943" w:type="dxa"/>
          </w:tcPr>
          <w:p w14:paraId="023F14FE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10 856 </w:t>
            </w:r>
          </w:p>
        </w:tc>
        <w:tc>
          <w:tcPr>
            <w:tcW w:w="942" w:type="dxa"/>
          </w:tcPr>
          <w:p w14:paraId="4914FC36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2 282 </w:t>
            </w:r>
          </w:p>
        </w:tc>
        <w:tc>
          <w:tcPr>
            <w:tcW w:w="942" w:type="dxa"/>
          </w:tcPr>
          <w:p w14:paraId="451C7657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5 518 </w:t>
            </w:r>
          </w:p>
        </w:tc>
        <w:tc>
          <w:tcPr>
            <w:tcW w:w="943" w:type="dxa"/>
          </w:tcPr>
          <w:p w14:paraId="6FF4C676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7 735 </w:t>
            </w:r>
          </w:p>
        </w:tc>
      </w:tr>
      <w:tr w:rsidR="00B44F0B" w:rsidRPr="00B44F0B" w14:paraId="56C972D6" w14:textId="77777777" w:rsidTr="00B44F0B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1780" w:type="dxa"/>
          </w:tcPr>
          <w:p w14:paraId="5A4D5021" w14:textId="77777777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Taux d’épargne (en %) </w:t>
            </w:r>
          </w:p>
        </w:tc>
        <w:tc>
          <w:tcPr>
            <w:tcW w:w="942" w:type="dxa"/>
          </w:tcPr>
          <w:p w14:paraId="6307F048" w14:textId="5826FEEE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>21,95</w:t>
            </w:r>
            <w:r w:rsidRPr="00B44F0B">
              <w:rPr>
                <w:rFonts w:cstheme="minorHAnsi"/>
                <w:color w:val="000000"/>
                <w:szCs w:val="22"/>
              </w:rPr>
              <w:t>%</w:t>
            </w:r>
            <w:r w:rsidRPr="00B44F0B">
              <w:rPr>
                <w:rFonts w:cstheme="minorHAnsi"/>
                <w:color w:val="000000"/>
                <w:szCs w:val="22"/>
              </w:rPr>
              <w:t xml:space="preserve"> </w:t>
            </w:r>
          </w:p>
        </w:tc>
        <w:tc>
          <w:tcPr>
            <w:tcW w:w="942" w:type="dxa"/>
          </w:tcPr>
          <w:p w14:paraId="4299E262" w14:textId="6B0EDC9E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36,17% </w:t>
            </w:r>
          </w:p>
        </w:tc>
        <w:tc>
          <w:tcPr>
            <w:tcW w:w="942" w:type="dxa"/>
          </w:tcPr>
          <w:p w14:paraId="248E967B" w14:textId="34328DFD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21,67% </w:t>
            </w:r>
          </w:p>
        </w:tc>
        <w:tc>
          <w:tcPr>
            <w:tcW w:w="943" w:type="dxa"/>
          </w:tcPr>
          <w:p w14:paraId="0D2FAE19" w14:textId="127DEEAA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14,19% </w:t>
            </w:r>
          </w:p>
        </w:tc>
        <w:tc>
          <w:tcPr>
            <w:tcW w:w="942" w:type="dxa"/>
          </w:tcPr>
          <w:p w14:paraId="7936BE82" w14:textId="0439BBBD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10,90% </w:t>
            </w:r>
          </w:p>
        </w:tc>
        <w:tc>
          <w:tcPr>
            <w:tcW w:w="942" w:type="dxa"/>
          </w:tcPr>
          <w:p w14:paraId="443781BB" w14:textId="35E3FC2E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17,25% </w:t>
            </w:r>
          </w:p>
        </w:tc>
        <w:tc>
          <w:tcPr>
            <w:tcW w:w="943" w:type="dxa"/>
          </w:tcPr>
          <w:p w14:paraId="2078AA31" w14:textId="064E453C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20,02% </w:t>
            </w:r>
          </w:p>
        </w:tc>
        <w:tc>
          <w:tcPr>
            <w:tcW w:w="942" w:type="dxa"/>
          </w:tcPr>
          <w:p w14:paraId="5025E9AC" w14:textId="03C2BE15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6,88% </w:t>
            </w:r>
          </w:p>
        </w:tc>
        <w:tc>
          <w:tcPr>
            <w:tcW w:w="942" w:type="dxa"/>
          </w:tcPr>
          <w:p w14:paraId="59825D73" w14:textId="6102D058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color w:val="000000"/>
                <w:szCs w:val="22"/>
              </w:rPr>
              <w:t xml:space="preserve">21,31% </w:t>
            </w:r>
          </w:p>
        </w:tc>
        <w:tc>
          <w:tcPr>
            <w:tcW w:w="943" w:type="dxa"/>
          </w:tcPr>
          <w:p w14:paraId="7947E92E" w14:textId="43FF99F5" w:rsidR="00B44F0B" w:rsidRPr="00B44F0B" w:rsidRDefault="00B44F0B" w:rsidP="00B44F0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Cs w:val="22"/>
              </w:rPr>
            </w:pPr>
            <w:r w:rsidRPr="00B44F0B">
              <w:rPr>
                <w:rFonts w:cstheme="minorHAnsi"/>
                <w:b/>
                <w:bCs/>
                <w:color w:val="000000"/>
                <w:szCs w:val="22"/>
              </w:rPr>
              <w:t xml:space="preserve">17,08% </w:t>
            </w:r>
          </w:p>
        </w:tc>
      </w:tr>
    </w:tbl>
    <w:p w14:paraId="7749F178" w14:textId="77777777" w:rsidR="00A400CF" w:rsidRPr="003A1FBA" w:rsidRDefault="00A400CF" w:rsidP="00A400CF">
      <w:pPr>
        <w:jc w:val="right"/>
        <w:rPr>
          <w:i/>
          <w:iCs/>
          <w:sz w:val="16"/>
          <w:szCs w:val="16"/>
        </w:rPr>
      </w:pPr>
      <w:r w:rsidRPr="003A1FBA">
        <w:rPr>
          <w:i/>
          <w:iCs/>
          <w:sz w:val="16"/>
          <w:szCs w:val="16"/>
        </w:rPr>
        <w:t xml:space="preserve">Source : </w:t>
      </w:r>
      <w:r w:rsidRPr="003A1FBA">
        <w:rPr>
          <w:rStyle w:val="A1"/>
          <w:i/>
          <w:iCs/>
          <w:sz w:val="16"/>
          <w:szCs w:val="16"/>
        </w:rPr>
        <w:t>Données 2011, INSEE 2017</w:t>
      </w:r>
    </w:p>
    <w:p w14:paraId="1404296E" w14:textId="500DA355" w:rsidR="00805E16" w:rsidRPr="008373E8" w:rsidRDefault="00805E16" w:rsidP="00A400CF">
      <w:pPr>
        <w:pStyle w:val="Paragraphedeliste"/>
        <w:ind w:left="0"/>
        <w:jc w:val="center"/>
        <w:rPr>
          <w:i/>
          <w:iCs/>
          <w:sz w:val="16"/>
          <w:szCs w:val="16"/>
        </w:rPr>
      </w:pPr>
      <w:r>
        <w:rPr>
          <w:b/>
          <w:bCs/>
        </w:rPr>
        <w:br w:type="page"/>
      </w:r>
    </w:p>
    <w:p w14:paraId="34FE1E83" w14:textId="77777777" w:rsidR="003D7512" w:rsidRPr="003D7512" w:rsidRDefault="003D7512" w:rsidP="003D7512">
      <w:pPr>
        <w:pStyle w:val="Titre3"/>
        <w:numPr>
          <w:ilvl w:val="0"/>
          <w:numId w:val="38"/>
        </w:numPr>
        <w:rPr>
          <w:sz w:val="20"/>
          <w:szCs w:val="18"/>
        </w:rPr>
      </w:pPr>
      <w:r w:rsidRPr="003D7512">
        <w:rPr>
          <w:sz w:val="20"/>
          <w:szCs w:val="18"/>
        </w:rPr>
        <w:lastRenderedPageBreak/>
        <w:t>Complétez le tableau en annexe 1. Vous y détaillerez les calculs nécessaires</w:t>
      </w:r>
    </w:p>
    <w:tbl>
      <w:tblPr>
        <w:tblW w:w="1092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3"/>
        <w:gridCol w:w="4018"/>
        <w:gridCol w:w="4020"/>
      </w:tblGrid>
      <w:tr w:rsidR="0085637E" w:rsidRPr="003D7512" w14:paraId="679DFEE0" w14:textId="77777777" w:rsidTr="0085637E">
        <w:tblPrEx>
          <w:tblCellMar>
            <w:top w:w="0" w:type="dxa"/>
            <w:bottom w:w="0" w:type="dxa"/>
          </w:tblCellMar>
        </w:tblPrEx>
        <w:trPr>
          <w:trHeight w:val="126"/>
        </w:trPr>
        <w:tc>
          <w:tcPr>
            <w:tcW w:w="2883" w:type="dxa"/>
            <w:shd w:val="clear" w:color="auto" w:fill="DEEAF6" w:themeFill="accent1" w:themeFillTint="33"/>
          </w:tcPr>
          <w:p w14:paraId="5CE62D0E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220" w:line="201" w:lineRule="atLeast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3D7512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Années</w:t>
            </w:r>
          </w:p>
        </w:tc>
        <w:tc>
          <w:tcPr>
            <w:tcW w:w="4018" w:type="dxa"/>
            <w:shd w:val="clear" w:color="auto" w:fill="DEEAF6" w:themeFill="accent1" w:themeFillTint="33"/>
          </w:tcPr>
          <w:p w14:paraId="055B4D5A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220" w:line="201" w:lineRule="atLeast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3D7512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4019" w:type="dxa"/>
            <w:shd w:val="clear" w:color="auto" w:fill="DEEAF6" w:themeFill="accent1" w:themeFillTint="33"/>
          </w:tcPr>
          <w:p w14:paraId="1AB33251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220" w:line="201" w:lineRule="atLeast"/>
              <w:jc w:val="center"/>
              <w:rPr>
                <w:rFonts w:cstheme="minorHAnsi"/>
                <w:color w:val="000000"/>
                <w:sz w:val="16"/>
                <w:szCs w:val="16"/>
              </w:rPr>
            </w:pPr>
            <w:r w:rsidRPr="003D7512">
              <w:rPr>
                <w:rFonts w:cstheme="minorHAnsi"/>
                <w:b/>
                <w:bCs/>
                <w:color w:val="000000"/>
                <w:sz w:val="16"/>
                <w:szCs w:val="16"/>
              </w:rPr>
              <w:t>2019</w:t>
            </w:r>
          </w:p>
        </w:tc>
      </w:tr>
      <w:tr w:rsidR="003D7512" w:rsidRPr="003D7512" w14:paraId="50194553" w14:textId="77777777" w:rsidTr="0085637E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2883" w:type="dxa"/>
          </w:tcPr>
          <w:p w14:paraId="3347D315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 w:val="16"/>
                <w:szCs w:val="16"/>
              </w:rPr>
            </w:pPr>
            <w:r w:rsidRPr="003D7512">
              <w:rPr>
                <w:rFonts w:cstheme="minorHAnsi"/>
                <w:color w:val="000000"/>
                <w:sz w:val="16"/>
                <w:szCs w:val="16"/>
              </w:rPr>
              <w:t xml:space="preserve">Revenu </w:t>
            </w:r>
          </w:p>
        </w:tc>
        <w:tc>
          <w:tcPr>
            <w:tcW w:w="4018" w:type="dxa"/>
          </w:tcPr>
          <w:p w14:paraId="6579A232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435D20" w:themeColor="accent2" w:themeShade="80"/>
                <w:sz w:val="16"/>
                <w:szCs w:val="16"/>
              </w:rPr>
            </w:pPr>
            <w:r w:rsidRPr="003D7512">
              <w:rPr>
                <w:rFonts w:cstheme="minorHAnsi"/>
                <w:color w:val="435D20" w:themeColor="accent2" w:themeShade="80"/>
                <w:sz w:val="16"/>
                <w:szCs w:val="16"/>
              </w:rPr>
              <w:t>25 000 €</w:t>
            </w:r>
          </w:p>
        </w:tc>
        <w:tc>
          <w:tcPr>
            <w:tcW w:w="4019" w:type="dxa"/>
          </w:tcPr>
          <w:p w14:paraId="065042A4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435D20" w:themeColor="accent2" w:themeShade="80"/>
                <w:sz w:val="16"/>
                <w:szCs w:val="16"/>
              </w:rPr>
            </w:pPr>
            <w:r w:rsidRPr="003D7512">
              <w:rPr>
                <w:rFonts w:cstheme="minorHAnsi"/>
                <w:color w:val="435D20" w:themeColor="accent2" w:themeShade="80"/>
                <w:sz w:val="16"/>
                <w:szCs w:val="16"/>
              </w:rPr>
              <w:t>50 000 €</w:t>
            </w:r>
          </w:p>
        </w:tc>
      </w:tr>
      <w:tr w:rsidR="003D7512" w:rsidRPr="003D7512" w14:paraId="20B4C0E7" w14:textId="77777777" w:rsidTr="0085637E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2883" w:type="dxa"/>
          </w:tcPr>
          <w:p w14:paraId="74856062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 w:val="16"/>
                <w:szCs w:val="16"/>
              </w:rPr>
            </w:pPr>
            <w:r w:rsidRPr="003D7512">
              <w:rPr>
                <w:rFonts w:cstheme="minorHAnsi"/>
                <w:color w:val="000000"/>
                <w:sz w:val="16"/>
                <w:szCs w:val="16"/>
              </w:rPr>
              <w:t xml:space="preserve">Consommation </w:t>
            </w:r>
          </w:p>
        </w:tc>
        <w:tc>
          <w:tcPr>
            <w:tcW w:w="4018" w:type="dxa"/>
          </w:tcPr>
          <w:p w14:paraId="3BCF8AA2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435D20" w:themeColor="accent2" w:themeShade="80"/>
                <w:sz w:val="16"/>
                <w:szCs w:val="16"/>
              </w:rPr>
            </w:pPr>
            <w:r w:rsidRPr="003D7512">
              <w:rPr>
                <w:rFonts w:cstheme="minorHAnsi"/>
                <w:color w:val="435D20" w:themeColor="accent2" w:themeShade="80"/>
                <w:sz w:val="16"/>
                <w:szCs w:val="16"/>
              </w:rPr>
              <w:t>22 500 €</w:t>
            </w:r>
          </w:p>
        </w:tc>
        <w:tc>
          <w:tcPr>
            <w:tcW w:w="4019" w:type="dxa"/>
          </w:tcPr>
          <w:p w14:paraId="24064C95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435D20" w:themeColor="accent2" w:themeShade="80"/>
                <w:sz w:val="16"/>
                <w:szCs w:val="16"/>
              </w:rPr>
            </w:pPr>
            <w:r w:rsidRPr="003D7512">
              <w:rPr>
                <w:rFonts w:cstheme="minorHAnsi"/>
                <w:color w:val="435D20" w:themeColor="accent2" w:themeShade="80"/>
                <w:sz w:val="16"/>
                <w:szCs w:val="16"/>
              </w:rPr>
              <w:t>40 000 €</w:t>
            </w:r>
          </w:p>
        </w:tc>
      </w:tr>
      <w:tr w:rsidR="003D7512" w:rsidRPr="003D7512" w14:paraId="6A2A2E84" w14:textId="77777777" w:rsidTr="0085637E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2883" w:type="dxa"/>
          </w:tcPr>
          <w:p w14:paraId="5159306A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 w:val="16"/>
                <w:szCs w:val="16"/>
              </w:rPr>
            </w:pPr>
            <w:r w:rsidRPr="003D7512">
              <w:rPr>
                <w:rFonts w:cstheme="minorHAnsi"/>
                <w:color w:val="000000"/>
                <w:sz w:val="16"/>
                <w:szCs w:val="16"/>
              </w:rPr>
              <w:t xml:space="preserve">Épargne </w:t>
            </w:r>
          </w:p>
        </w:tc>
        <w:tc>
          <w:tcPr>
            <w:tcW w:w="4018" w:type="dxa"/>
          </w:tcPr>
          <w:p w14:paraId="65A32BD2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435D20" w:themeColor="accent2" w:themeShade="80"/>
                <w:sz w:val="16"/>
                <w:szCs w:val="16"/>
              </w:rPr>
            </w:pPr>
            <w:r w:rsidRPr="003D7512">
              <w:rPr>
                <w:rFonts w:cstheme="minorHAnsi"/>
                <w:color w:val="435D20" w:themeColor="accent2" w:themeShade="80"/>
                <w:sz w:val="16"/>
                <w:szCs w:val="16"/>
              </w:rPr>
              <w:t>2 500 €</w:t>
            </w:r>
          </w:p>
        </w:tc>
        <w:tc>
          <w:tcPr>
            <w:tcW w:w="4019" w:type="dxa"/>
          </w:tcPr>
          <w:p w14:paraId="3FD504E9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435D20" w:themeColor="accent2" w:themeShade="80"/>
                <w:sz w:val="16"/>
                <w:szCs w:val="16"/>
              </w:rPr>
            </w:pPr>
            <w:r w:rsidRPr="003D7512">
              <w:rPr>
                <w:rFonts w:cstheme="minorHAnsi"/>
                <w:color w:val="435D20" w:themeColor="accent2" w:themeShade="80"/>
                <w:sz w:val="16"/>
                <w:szCs w:val="16"/>
              </w:rPr>
              <w:t>10 000 €</w:t>
            </w:r>
          </w:p>
        </w:tc>
      </w:tr>
      <w:tr w:rsidR="003D7512" w:rsidRPr="003D7512" w14:paraId="45766BDB" w14:textId="77777777" w:rsidTr="0085637E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883" w:type="dxa"/>
          </w:tcPr>
          <w:p w14:paraId="6F476FEB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 w:val="16"/>
                <w:szCs w:val="16"/>
              </w:rPr>
            </w:pPr>
            <w:r w:rsidRPr="003D7512">
              <w:rPr>
                <w:rFonts w:cstheme="minorHAnsi"/>
                <w:color w:val="000000"/>
                <w:sz w:val="16"/>
                <w:szCs w:val="16"/>
              </w:rPr>
              <w:t xml:space="preserve">Propension moyenne à consommer </w:t>
            </w:r>
          </w:p>
        </w:tc>
        <w:tc>
          <w:tcPr>
            <w:tcW w:w="4018" w:type="dxa"/>
          </w:tcPr>
          <w:p w14:paraId="229D6EC7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435D20" w:themeColor="accent2" w:themeShade="80"/>
                <w:sz w:val="16"/>
                <w:szCs w:val="16"/>
              </w:rPr>
            </w:pPr>
            <w:r w:rsidRPr="003D7512">
              <w:rPr>
                <w:rFonts w:cstheme="minorHAnsi"/>
                <w:color w:val="435D20" w:themeColor="accent2" w:themeShade="80"/>
                <w:sz w:val="16"/>
                <w:szCs w:val="16"/>
              </w:rPr>
              <w:t>(22 500/25 000) x 100 = 90 %</w:t>
            </w:r>
          </w:p>
        </w:tc>
        <w:tc>
          <w:tcPr>
            <w:tcW w:w="4019" w:type="dxa"/>
          </w:tcPr>
          <w:p w14:paraId="0CAF8B0F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435D20" w:themeColor="accent2" w:themeShade="80"/>
                <w:sz w:val="16"/>
                <w:szCs w:val="16"/>
              </w:rPr>
            </w:pPr>
            <w:r w:rsidRPr="003D7512">
              <w:rPr>
                <w:rFonts w:cstheme="minorHAnsi"/>
                <w:color w:val="435D20" w:themeColor="accent2" w:themeShade="80"/>
                <w:sz w:val="16"/>
                <w:szCs w:val="16"/>
              </w:rPr>
              <w:t>(40 000/50 000) x 100 = 80 %</w:t>
            </w:r>
          </w:p>
        </w:tc>
      </w:tr>
      <w:tr w:rsidR="003D7512" w:rsidRPr="003D7512" w14:paraId="5119874C" w14:textId="77777777" w:rsidTr="0085637E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883" w:type="dxa"/>
          </w:tcPr>
          <w:p w14:paraId="6B148D3E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 w:val="16"/>
                <w:szCs w:val="16"/>
              </w:rPr>
            </w:pPr>
            <w:r w:rsidRPr="003D7512">
              <w:rPr>
                <w:rFonts w:cstheme="minorHAnsi"/>
                <w:color w:val="000000"/>
                <w:sz w:val="16"/>
                <w:szCs w:val="16"/>
              </w:rPr>
              <w:t xml:space="preserve">Propension moyenne à épargner </w:t>
            </w:r>
          </w:p>
        </w:tc>
        <w:tc>
          <w:tcPr>
            <w:tcW w:w="4018" w:type="dxa"/>
          </w:tcPr>
          <w:p w14:paraId="0E7B77D1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435D20" w:themeColor="accent2" w:themeShade="80"/>
                <w:sz w:val="16"/>
                <w:szCs w:val="16"/>
              </w:rPr>
            </w:pPr>
            <w:r w:rsidRPr="003D7512">
              <w:rPr>
                <w:rFonts w:cstheme="minorHAnsi"/>
                <w:color w:val="435D20" w:themeColor="accent2" w:themeShade="80"/>
                <w:sz w:val="16"/>
                <w:szCs w:val="16"/>
              </w:rPr>
              <w:t>(2 500/25 000) x 100 = 10 %</w:t>
            </w:r>
          </w:p>
        </w:tc>
        <w:tc>
          <w:tcPr>
            <w:tcW w:w="4019" w:type="dxa"/>
          </w:tcPr>
          <w:p w14:paraId="31B03CCE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435D20" w:themeColor="accent2" w:themeShade="80"/>
                <w:sz w:val="16"/>
                <w:szCs w:val="16"/>
              </w:rPr>
            </w:pPr>
            <w:r w:rsidRPr="003D7512">
              <w:rPr>
                <w:rFonts w:cstheme="minorHAnsi"/>
                <w:color w:val="435D20" w:themeColor="accent2" w:themeShade="80"/>
                <w:sz w:val="16"/>
                <w:szCs w:val="16"/>
              </w:rPr>
              <w:t>(10 000/50 000) x 100 = 20 %</w:t>
            </w:r>
          </w:p>
        </w:tc>
      </w:tr>
      <w:tr w:rsidR="003D7512" w:rsidRPr="003D7512" w14:paraId="4559F213" w14:textId="77777777" w:rsidTr="0085637E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883" w:type="dxa"/>
          </w:tcPr>
          <w:p w14:paraId="5B684DFE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 w:val="16"/>
                <w:szCs w:val="16"/>
              </w:rPr>
            </w:pPr>
            <w:r w:rsidRPr="003D7512">
              <w:rPr>
                <w:rFonts w:cstheme="minorHAnsi"/>
                <w:color w:val="000000"/>
                <w:sz w:val="16"/>
                <w:szCs w:val="16"/>
              </w:rPr>
              <w:t xml:space="preserve">Propension marginale à consommer </w:t>
            </w:r>
          </w:p>
        </w:tc>
        <w:tc>
          <w:tcPr>
            <w:tcW w:w="8038" w:type="dxa"/>
            <w:gridSpan w:val="2"/>
          </w:tcPr>
          <w:p w14:paraId="4B84EBE1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435D20" w:themeColor="accent2" w:themeShade="80"/>
                <w:sz w:val="16"/>
                <w:szCs w:val="16"/>
              </w:rPr>
            </w:pPr>
            <w:r w:rsidRPr="003D7512">
              <w:rPr>
                <w:rFonts w:cstheme="minorHAnsi"/>
                <w:color w:val="435D20" w:themeColor="accent2" w:themeShade="80"/>
                <w:sz w:val="16"/>
                <w:szCs w:val="16"/>
              </w:rPr>
              <w:t xml:space="preserve">[(40 000 – 22 </w:t>
            </w:r>
            <w:proofErr w:type="gramStart"/>
            <w:r w:rsidRPr="003D7512">
              <w:rPr>
                <w:rFonts w:cstheme="minorHAnsi"/>
                <w:color w:val="435D20" w:themeColor="accent2" w:themeShade="80"/>
                <w:sz w:val="16"/>
                <w:szCs w:val="16"/>
              </w:rPr>
              <w:t>500)/</w:t>
            </w:r>
            <w:proofErr w:type="gramEnd"/>
            <w:r w:rsidRPr="003D7512">
              <w:rPr>
                <w:rFonts w:cstheme="minorHAnsi"/>
                <w:color w:val="435D20" w:themeColor="accent2" w:themeShade="80"/>
                <w:sz w:val="16"/>
                <w:szCs w:val="16"/>
              </w:rPr>
              <w:t>(50 000 – 25 000)] x 100 = 70 %</w:t>
            </w:r>
          </w:p>
        </w:tc>
      </w:tr>
      <w:tr w:rsidR="003D7512" w:rsidRPr="003D7512" w14:paraId="70D4D28B" w14:textId="77777777" w:rsidTr="0085637E">
        <w:tblPrEx>
          <w:tblCellMar>
            <w:top w:w="0" w:type="dxa"/>
            <w:bottom w:w="0" w:type="dxa"/>
          </w:tblCellMar>
        </w:tblPrEx>
        <w:trPr>
          <w:trHeight w:val="216"/>
        </w:trPr>
        <w:tc>
          <w:tcPr>
            <w:tcW w:w="2883" w:type="dxa"/>
          </w:tcPr>
          <w:p w14:paraId="26A8ACDA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0" w:line="181" w:lineRule="atLeast"/>
              <w:rPr>
                <w:rFonts w:cstheme="minorHAnsi"/>
                <w:color w:val="000000"/>
                <w:sz w:val="16"/>
                <w:szCs w:val="16"/>
              </w:rPr>
            </w:pPr>
            <w:r w:rsidRPr="003D7512">
              <w:rPr>
                <w:rFonts w:cstheme="minorHAnsi"/>
                <w:color w:val="000000"/>
                <w:sz w:val="16"/>
                <w:szCs w:val="16"/>
              </w:rPr>
              <w:t xml:space="preserve">Propension marginale à épargner </w:t>
            </w:r>
          </w:p>
        </w:tc>
        <w:tc>
          <w:tcPr>
            <w:tcW w:w="8038" w:type="dxa"/>
            <w:gridSpan w:val="2"/>
          </w:tcPr>
          <w:p w14:paraId="2FFBFAE4" w14:textId="77777777" w:rsidR="003D7512" w:rsidRPr="003D7512" w:rsidRDefault="003D7512" w:rsidP="009B618B">
            <w:pPr>
              <w:autoSpaceDE w:val="0"/>
              <w:autoSpaceDN w:val="0"/>
              <w:adjustRightInd w:val="0"/>
              <w:spacing w:after="0" w:line="181" w:lineRule="atLeast"/>
              <w:jc w:val="center"/>
              <w:rPr>
                <w:rFonts w:cstheme="minorHAnsi"/>
                <w:color w:val="435D20" w:themeColor="accent2" w:themeShade="80"/>
                <w:sz w:val="16"/>
                <w:szCs w:val="16"/>
              </w:rPr>
            </w:pPr>
            <w:r w:rsidRPr="003D7512">
              <w:rPr>
                <w:rFonts w:cstheme="minorHAnsi"/>
                <w:color w:val="435D20" w:themeColor="accent2" w:themeShade="80"/>
                <w:sz w:val="16"/>
                <w:szCs w:val="16"/>
              </w:rPr>
              <w:t xml:space="preserve">[(10 000 – 2 </w:t>
            </w:r>
            <w:proofErr w:type="gramStart"/>
            <w:r w:rsidRPr="003D7512">
              <w:rPr>
                <w:rFonts w:cstheme="minorHAnsi"/>
                <w:color w:val="435D20" w:themeColor="accent2" w:themeShade="80"/>
                <w:sz w:val="16"/>
                <w:szCs w:val="16"/>
              </w:rPr>
              <w:t>500)/</w:t>
            </w:r>
            <w:proofErr w:type="gramEnd"/>
            <w:r w:rsidRPr="003D7512">
              <w:rPr>
                <w:rFonts w:cstheme="minorHAnsi"/>
                <w:color w:val="435D20" w:themeColor="accent2" w:themeShade="80"/>
                <w:sz w:val="16"/>
                <w:szCs w:val="16"/>
              </w:rPr>
              <w:t>(50 000 – 25 000)] x 100 = 30 %</w:t>
            </w:r>
          </w:p>
        </w:tc>
      </w:tr>
    </w:tbl>
    <w:p w14:paraId="4D397230" w14:textId="7BECB274" w:rsidR="003D7512" w:rsidRPr="003D7512" w:rsidRDefault="003D7512" w:rsidP="003D7512">
      <w:pPr>
        <w:pStyle w:val="Titre3"/>
        <w:rPr>
          <w:sz w:val="20"/>
          <w:szCs w:val="18"/>
        </w:rPr>
      </w:pPr>
      <w:r w:rsidRPr="003D7512">
        <w:rPr>
          <w:sz w:val="20"/>
          <w:szCs w:val="18"/>
        </w:rPr>
        <w:t>Définissez</w:t>
      </w:r>
      <w:r w:rsidR="009F4DC1">
        <w:rPr>
          <w:sz w:val="20"/>
          <w:szCs w:val="18"/>
        </w:rPr>
        <w:t xml:space="preserve"> les éléments ci-dessous. Illustrez vos définissions avec les résultats trouvés en annexe 1.</w:t>
      </w:r>
      <w:r w:rsidRPr="003D7512">
        <w:rPr>
          <w:sz w:val="20"/>
          <w:szCs w:val="18"/>
        </w:rPr>
        <w:t xml:space="preserve"> </w:t>
      </w:r>
    </w:p>
    <w:p w14:paraId="2FDE8ADB" w14:textId="71D69451" w:rsidR="003D7512" w:rsidRDefault="003D7512" w:rsidP="003D7512">
      <w:pPr>
        <w:pStyle w:val="Titre3"/>
        <w:numPr>
          <w:ilvl w:val="1"/>
          <w:numId w:val="5"/>
        </w:numPr>
        <w:rPr>
          <w:sz w:val="20"/>
          <w:szCs w:val="22"/>
        </w:rPr>
      </w:pPr>
      <w:r w:rsidRPr="003D7512">
        <w:rPr>
          <w:sz w:val="20"/>
          <w:szCs w:val="22"/>
        </w:rPr>
        <w:t xml:space="preserve">Les propensions moyennes à épargner et à consommer. </w:t>
      </w:r>
    </w:p>
    <w:p w14:paraId="4173B9DC" w14:textId="6746B03C" w:rsidR="003D7512" w:rsidRPr="003D7512" w:rsidRDefault="003D7512" w:rsidP="003D7512">
      <w:pPr>
        <w:rPr>
          <w:rFonts w:cstheme="minorHAnsi"/>
          <w:color w:val="435D20" w:themeColor="accent2" w:themeShade="80"/>
          <w:sz w:val="16"/>
          <w:szCs w:val="16"/>
        </w:rPr>
      </w:pPr>
      <w:r w:rsidRPr="003D7512">
        <w:rPr>
          <w:rFonts w:cstheme="minorHAnsi"/>
          <w:b/>
          <w:bCs/>
          <w:color w:val="435D20" w:themeColor="accent2" w:themeShade="80"/>
          <w:sz w:val="16"/>
          <w:szCs w:val="16"/>
        </w:rPr>
        <w:t>Une</w:t>
      </w:r>
      <w:r w:rsidRPr="003D7512">
        <w:rPr>
          <w:rFonts w:cstheme="minorHAnsi"/>
          <w:b/>
          <w:bCs/>
          <w:color w:val="435D20" w:themeColor="accent2" w:themeShade="80"/>
          <w:sz w:val="16"/>
          <w:szCs w:val="16"/>
        </w:rPr>
        <w:t xml:space="preserve"> propension moyenne à épargner</w:t>
      </w:r>
      <w:r w:rsidRPr="003D7512">
        <w:rPr>
          <w:rFonts w:cstheme="minorHAnsi"/>
          <w:color w:val="435D20" w:themeColor="accent2" w:themeShade="80"/>
          <w:sz w:val="16"/>
          <w:szCs w:val="16"/>
        </w:rPr>
        <w:t xml:space="preserve"> est la part du revenu qui est épargné par le ménage. Dans notre exemple, la propension moyenne à épargner est de 10 % en 2010 et 20 % en 2019. Cela signifie qu’en 2019, 20 % du revenu du ménage était épargné. </w:t>
      </w:r>
    </w:p>
    <w:p w14:paraId="5004CD1A" w14:textId="0FAE0BDC" w:rsidR="003D7512" w:rsidRPr="003D7512" w:rsidRDefault="003D7512" w:rsidP="003D7512">
      <w:pPr>
        <w:rPr>
          <w:rFonts w:cstheme="minorHAnsi"/>
          <w:color w:val="435D20" w:themeColor="accent2" w:themeShade="80"/>
          <w:sz w:val="16"/>
          <w:szCs w:val="16"/>
        </w:rPr>
      </w:pPr>
      <w:r w:rsidRPr="009F4DC1">
        <w:rPr>
          <w:rFonts w:cstheme="minorHAnsi"/>
          <w:b/>
          <w:bCs/>
          <w:color w:val="435D20" w:themeColor="accent2" w:themeShade="80"/>
          <w:sz w:val="16"/>
          <w:szCs w:val="16"/>
        </w:rPr>
        <w:t>Une propension moyenne à consommer</w:t>
      </w:r>
      <w:r w:rsidRPr="003D7512">
        <w:rPr>
          <w:rFonts w:cstheme="minorHAnsi"/>
          <w:color w:val="435D20" w:themeColor="accent2" w:themeShade="80"/>
          <w:sz w:val="16"/>
          <w:szCs w:val="16"/>
        </w:rPr>
        <w:t xml:space="preserve"> est la part du revenu qui est consommé par le ménage. Dans notre exemple, la propension moyenne à consommer est de 90 % en 2010 puis de 80 % en 2019. Cela signifie qu’en 2019, 80 % du revenu était consommé.</w:t>
      </w:r>
    </w:p>
    <w:p w14:paraId="0781D139" w14:textId="77777777" w:rsidR="003D7512" w:rsidRPr="003D7512" w:rsidRDefault="003D7512" w:rsidP="003D7512">
      <w:pPr>
        <w:pStyle w:val="Titre3"/>
        <w:numPr>
          <w:ilvl w:val="1"/>
          <w:numId w:val="5"/>
        </w:numPr>
        <w:rPr>
          <w:sz w:val="20"/>
          <w:szCs w:val="22"/>
        </w:rPr>
      </w:pPr>
      <w:r w:rsidRPr="003D7512">
        <w:rPr>
          <w:sz w:val="20"/>
          <w:szCs w:val="22"/>
        </w:rPr>
        <w:t xml:space="preserve">Les propensions marginales à épargner et à consommer. </w:t>
      </w:r>
    </w:p>
    <w:p w14:paraId="5C371D16" w14:textId="5589F4B4" w:rsidR="009F4DC1" w:rsidRPr="009F4DC1" w:rsidRDefault="009F4DC1" w:rsidP="009F4DC1">
      <w:pPr>
        <w:rPr>
          <w:rFonts w:cstheme="minorHAnsi"/>
          <w:color w:val="435D20" w:themeColor="accent2" w:themeShade="80"/>
          <w:sz w:val="16"/>
          <w:szCs w:val="16"/>
        </w:rPr>
      </w:pPr>
      <w:r w:rsidRPr="009F4DC1">
        <w:rPr>
          <w:rFonts w:cstheme="minorHAnsi"/>
          <w:b/>
          <w:bCs/>
          <w:color w:val="435D20" w:themeColor="accent2" w:themeShade="80"/>
          <w:sz w:val="16"/>
          <w:szCs w:val="16"/>
        </w:rPr>
        <w:t>La</w:t>
      </w:r>
      <w:r w:rsidRPr="009F4DC1">
        <w:rPr>
          <w:rFonts w:cstheme="minorHAnsi"/>
          <w:b/>
          <w:bCs/>
          <w:color w:val="435D20" w:themeColor="accent2" w:themeShade="80"/>
          <w:sz w:val="16"/>
          <w:szCs w:val="16"/>
        </w:rPr>
        <w:t xml:space="preserve"> propension marginale à épargner</w:t>
      </w:r>
      <w:r w:rsidRPr="009F4DC1">
        <w:rPr>
          <w:rFonts w:cstheme="minorHAnsi"/>
          <w:color w:val="435D20" w:themeColor="accent2" w:themeShade="80"/>
          <w:sz w:val="16"/>
          <w:szCs w:val="16"/>
        </w:rPr>
        <w:t xml:space="preserve"> est la part du revenu supplémentaire affectée à </w:t>
      </w:r>
      <w:r>
        <w:rPr>
          <w:rFonts w:cstheme="minorHAnsi"/>
          <w:color w:val="435D20" w:themeColor="accent2" w:themeShade="80"/>
          <w:sz w:val="16"/>
          <w:szCs w:val="16"/>
        </w:rPr>
        <w:t>l’épargne</w:t>
      </w:r>
      <w:r w:rsidRPr="009F4DC1">
        <w:rPr>
          <w:rFonts w:cstheme="minorHAnsi"/>
          <w:color w:val="435D20" w:themeColor="accent2" w:themeShade="80"/>
          <w:sz w:val="16"/>
          <w:szCs w:val="16"/>
        </w:rPr>
        <w:t xml:space="preserve">. Dans notre exemple, elle est de 30 %, c’est-à-dire que l’augmentation de revenu entre 2010 et 2019 a été épargnée à hauteur de 30 % : l’épargne est passée de 2 500 € à 10 000 € quand le revenu est passé de 25 000 € à 50 000 € </w:t>
      </w:r>
      <w:r w:rsidRPr="009F4DC1">
        <w:rPr>
          <w:rFonts w:ascii="Cambria Math" w:hAnsi="Cambria Math" w:cs="Cambria Math"/>
          <w:color w:val="435D20" w:themeColor="accent2" w:themeShade="80"/>
          <w:sz w:val="16"/>
          <w:szCs w:val="16"/>
        </w:rPr>
        <w:t>⟶</w:t>
      </w:r>
      <w:r w:rsidRPr="009F4DC1">
        <w:rPr>
          <w:rFonts w:cstheme="minorHAnsi"/>
          <w:color w:val="435D20" w:themeColor="accent2" w:themeShade="80"/>
          <w:sz w:val="16"/>
          <w:szCs w:val="16"/>
        </w:rPr>
        <w:t xml:space="preserve"> cela nous fait 7 500 € d’épargne en plus quand le revenu augmente de 25 000 € (7 500 = 30 % de 25 000). </w:t>
      </w:r>
    </w:p>
    <w:p w14:paraId="04C814EB" w14:textId="262E94E8" w:rsidR="009F4DC1" w:rsidRPr="009F4DC1" w:rsidRDefault="009F4DC1" w:rsidP="009F4DC1">
      <w:pPr>
        <w:rPr>
          <w:rFonts w:cstheme="minorHAnsi"/>
          <w:color w:val="435D20" w:themeColor="accent2" w:themeShade="80"/>
          <w:sz w:val="16"/>
          <w:szCs w:val="16"/>
        </w:rPr>
      </w:pPr>
      <w:r w:rsidRPr="009F4DC1">
        <w:rPr>
          <w:rFonts w:cstheme="minorHAnsi"/>
          <w:b/>
          <w:bCs/>
          <w:color w:val="435D20" w:themeColor="accent2" w:themeShade="80"/>
          <w:sz w:val="16"/>
          <w:szCs w:val="16"/>
        </w:rPr>
        <w:t>La propension marginale à consommer</w:t>
      </w:r>
      <w:r w:rsidRPr="009F4DC1">
        <w:rPr>
          <w:rFonts w:cstheme="minorHAnsi"/>
          <w:color w:val="435D20" w:themeColor="accent2" w:themeShade="80"/>
          <w:sz w:val="16"/>
          <w:szCs w:val="16"/>
        </w:rPr>
        <w:t xml:space="preserve"> est </w:t>
      </w:r>
      <w:r>
        <w:rPr>
          <w:rFonts w:cstheme="minorHAnsi"/>
          <w:color w:val="435D20" w:themeColor="accent2" w:themeShade="80"/>
          <w:sz w:val="16"/>
          <w:szCs w:val="16"/>
        </w:rPr>
        <w:t xml:space="preserve">la </w:t>
      </w:r>
      <w:r w:rsidRPr="009F4DC1">
        <w:rPr>
          <w:rFonts w:cstheme="minorHAnsi"/>
          <w:color w:val="435D20" w:themeColor="accent2" w:themeShade="80"/>
          <w:sz w:val="16"/>
          <w:szCs w:val="16"/>
        </w:rPr>
        <w:t xml:space="preserve">part du revenu supplémentaire affectée à la consommation. Dans notre exemple, elle est de 70 %, c’est-à-dire que l’augmentation de revenu entre 2010 et 2019 a été consommée à hauteur de 70 % : 17 500 € consommés en plus quand le revenu augmente de 25 000 €, soit 70 %. </w:t>
      </w:r>
    </w:p>
    <w:p w14:paraId="73CFB1CC" w14:textId="4614BBC8" w:rsidR="003A1FBA" w:rsidRPr="003A1FBA" w:rsidRDefault="003A1FBA" w:rsidP="003A1FBA">
      <w:pPr>
        <w:pStyle w:val="Titre3"/>
        <w:rPr>
          <w:sz w:val="20"/>
          <w:szCs w:val="18"/>
        </w:rPr>
      </w:pPr>
      <w:r>
        <w:rPr>
          <w:sz w:val="20"/>
          <w:szCs w:val="18"/>
        </w:rPr>
        <w:t>D</w:t>
      </w:r>
      <w:r w:rsidRPr="003A1FBA">
        <w:rPr>
          <w:sz w:val="20"/>
          <w:szCs w:val="18"/>
        </w:rPr>
        <w:t>éterminez l’impact de la hausse du revenu sur le comportement d’épargne.</w:t>
      </w:r>
      <w:r>
        <w:rPr>
          <w:sz w:val="20"/>
          <w:szCs w:val="18"/>
        </w:rPr>
        <w:t xml:space="preserve"> Illustrez vos propos avec les résultats trouvés en annexe 1.</w:t>
      </w:r>
    </w:p>
    <w:p w14:paraId="601E62E7" w14:textId="2AF4DC03" w:rsidR="003A1FBA" w:rsidRPr="003A1FBA" w:rsidRDefault="003A1FBA" w:rsidP="003A1FBA">
      <w:pPr>
        <w:rPr>
          <w:rFonts w:eastAsiaTheme="majorEastAsia" w:cstheme="majorBidi"/>
          <w:color w:val="435D20" w:themeColor="accent2" w:themeShade="80"/>
          <w:sz w:val="20"/>
          <w:szCs w:val="18"/>
        </w:rPr>
      </w:pPr>
      <w:r w:rsidRPr="003A1FBA">
        <w:rPr>
          <w:color w:val="435D20" w:themeColor="accent2" w:themeShade="80"/>
          <w:sz w:val="16"/>
          <w:szCs w:val="14"/>
        </w:rPr>
        <w:t>On</w:t>
      </w:r>
      <w:r w:rsidRPr="003A1FBA">
        <w:rPr>
          <w:color w:val="435D20" w:themeColor="accent2" w:themeShade="80"/>
          <w:sz w:val="16"/>
          <w:szCs w:val="14"/>
        </w:rPr>
        <w:t xml:space="preserve"> observe que</w:t>
      </w:r>
      <w:r>
        <w:rPr>
          <w:color w:val="435D20" w:themeColor="accent2" w:themeShade="80"/>
          <w:sz w:val="16"/>
          <w:szCs w:val="14"/>
        </w:rPr>
        <w:t xml:space="preserve"> </w:t>
      </w:r>
      <w:r w:rsidRPr="003A1FBA">
        <w:rPr>
          <w:color w:val="435D20" w:themeColor="accent2" w:themeShade="80"/>
          <w:sz w:val="16"/>
          <w:szCs w:val="14"/>
        </w:rPr>
        <w:t>l’augmentation du revenu participe à augmenter le volume d’épargne, mais pas la propension</w:t>
      </w:r>
      <w:r>
        <w:rPr>
          <w:color w:val="435D20" w:themeColor="accent2" w:themeShade="80"/>
          <w:sz w:val="16"/>
          <w:szCs w:val="14"/>
        </w:rPr>
        <w:t xml:space="preserve"> </w:t>
      </w:r>
      <w:r w:rsidRPr="003A1FBA">
        <w:rPr>
          <w:color w:val="435D20" w:themeColor="accent2" w:themeShade="80"/>
          <w:sz w:val="16"/>
          <w:szCs w:val="14"/>
        </w:rPr>
        <w:t>moyenne à épargner. En effet, on voit dans notre exemple que la propension moyenne à</w:t>
      </w:r>
      <w:r>
        <w:rPr>
          <w:color w:val="435D20" w:themeColor="accent2" w:themeShade="80"/>
          <w:sz w:val="16"/>
          <w:szCs w:val="14"/>
        </w:rPr>
        <w:t xml:space="preserve"> </w:t>
      </w:r>
      <w:r w:rsidRPr="003A1FBA">
        <w:rPr>
          <w:color w:val="435D20" w:themeColor="accent2" w:themeShade="80"/>
          <w:sz w:val="16"/>
          <w:szCs w:val="14"/>
        </w:rPr>
        <w:t>épargner de notre ménage passe de 10 % à 20 % avec l’augmentation du revenu entre 2010 et</w:t>
      </w:r>
    </w:p>
    <w:p w14:paraId="35984E5E" w14:textId="77777777" w:rsidR="00A400CF" w:rsidRPr="00A400CF" w:rsidRDefault="00A400CF" w:rsidP="00A400CF">
      <w:pPr>
        <w:pStyle w:val="Titre3"/>
        <w:rPr>
          <w:sz w:val="22"/>
          <w:szCs w:val="20"/>
        </w:rPr>
      </w:pPr>
      <w:r w:rsidRPr="00A400CF">
        <w:rPr>
          <w:sz w:val="22"/>
          <w:szCs w:val="20"/>
        </w:rPr>
        <w:t xml:space="preserve">Comparez les taux d’épargne des cinq quintiles et montrez si l’arbitrage consommation épargne dépend du revenu (Annexe 2). </w:t>
      </w:r>
    </w:p>
    <w:p w14:paraId="0E326F87" w14:textId="07B85C17" w:rsidR="003A1FBA" w:rsidRPr="00A400CF" w:rsidRDefault="00A400CF" w:rsidP="00A400CF">
      <w:pPr>
        <w:pStyle w:val="Pa6"/>
        <w:spacing w:after="220"/>
        <w:rPr>
          <w:color w:val="435D20" w:themeColor="accent2" w:themeShade="80"/>
          <w:sz w:val="16"/>
          <w:szCs w:val="14"/>
        </w:rPr>
      </w:pPr>
      <w:r w:rsidRPr="00A400CF">
        <w:rPr>
          <w:rFonts w:asciiTheme="minorHAnsi" w:hAnsiTheme="minorHAnsi"/>
          <w:color w:val="435D20" w:themeColor="accent2" w:themeShade="80"/>
          <w:sz w:val="16"/>
          <w:szCs w:val="14"/>
        </w:rPr>
        <w:t xml:space="preserve">On constate que plus les individus sont aisés, plus leur taux d’épargne est élevé. On constate l’effet du revenu sur le comportement moyen d’épargne dans la population. </w:t>
      </w:r>
      <w:r w:rsidRPr="00A400CF">
        <w:rPr>
          <w:color w:val="435D20" w:themeColor="accent2" w:themeShade="80"/>
          <w:sz w:val="16"/>
          <w:szCs w:val="14"/>
        </w:rPr>
        <w:t xml:space="preserve">Cela nous montre que le niveau de revenu a un impact certain sur les propensions et épargner des individus. </w:t>
      </w:r>
    </w:p>
    <w:p w14:paraId="0ADFBA1F" w14:textId="77777777" w:rsidR="00A400CF" w:rsidRPr="00A400CF" w:rsidRDefault="008373E8" w:rsidP="00A400CF">
      <w:pPr>
        <w:pStyle w:val="Titre3"/>
        <w:rPr>
          <w:sz w:val="20"/>
          <w:szCs w:val="20"/>
        </w:rPr>
      </w:pPr>
      <w:r w:rsidRPr="00A400CF">
        <w:rPr>
          <w:rFonts w:ascii="NeoSansPro-Bold" w:hAnsi="NeoSansPro-Bold" w:cs="NeoSansPro-Bold"/>
          <w:bCs/>
          <w:color w:val="404040"/>
          <w:sz w:val="20"/>
          <w:szCs w:val="20"/>
        </w:rPr>
        <w:t xml:space="preserve"> </w:t>
      </w:r>
      <w:r w:rsidR="00A400CF" w:rsidRPr="00A400CF">
        <w:rPr>
          <w:sz w:val="20"/>
          <w:szCs w:val="20"/>
        </w:rPr>
        <w:t>A partir de l’annexe 3 et de vos connaissances, rédigez une argumentation répondant à la question suivante :</w:t>
      </w:r>
    </w:p>
    <w:p w14:paraId="43F3EC89" w14:textId="77777777" w:rsidR="00A400CF" w:rsidRPr="00A400CF" w:rsidRDefault="00A400CF" w:rsidP="00A400CF">
      <w:pPr>
        <w:pStyle w:val="Titre3"/>
        <w:numPr>
          <w:ilvl w:val="0"/>
          <w:numId w:val="0"/>
        </w:numPr>
        <w:ind w:left="720"/>
        <w:rPr>
          <w:sz w:val="20"/>
          <w:szCs w:val="20"/>
        </w:rPr>
      </w:pPr>
      <w:r w:rsidRPr="00A400CF">
        <w:rPr>
          <w:i/>
          <w:iCs/>
          <w:sz w:val="20"/>
          <w:szCs w:val="20"/>
        </w:rPr>
        <w:t xml:space="preserve">Existe-t-il d’autres facteurs que le revenu qui déterminent l’arbitrage consommation-épargne dans le partage du revenu ? </w:t>
      </w:r>
    </w:p>
    <w:p w14:paraId="0D1C2931" w14:textId="7C31618A" w:rsidR="00A400CF" w:rsidRPr="0085637E" w:rsidRDefault="0085637E" w:rsidP="0085637E">
      <w:pPr>
        <w:pStyle w:val="Paragraphedeliste"/>
        <w:ind w:left="0"/>
        <w:jc w:val="both"/>
        <w:rPr>
          <w:color w:val="435D20" w:themeColor="accent2" w:themeShade="80"/>
          <w:sz w:val="16"/>
          <w:szCs w:val="16"/>
        </w:rPr>
      </w:pPr>
      <w:r w:rsidRPr="0085637E">
        <w:rPr>
          <w:color w:val="FF0000"/>
          <w:sz w:val="16"/>
          <w:szCs w:val="16"/>
        </w:rPr>
        <w:t>A </w:t>
      </w:r>
      <w:r>
        <w:rPr>
          <w:color w:val="435D20" w:themeColor="accent2" w:themeShade="80"/>
          <w:sz w:val="16"/>
          <w:szCs w:val="16"/>
        </w:rPr>
        <w:t>:</w:t>
      </w:r>
      <w:r w:rsidRPr="0085637E">
        <w:rPr>
          <w:color w:val="435D20" w:themeColor="accent2" w:themeShade="80"/>
          <w:sz w:val="16"/>
          <w:szCs w:val="16"/>
        </w:rPr>
        <w:t xml:space="preserve"> On</w:t>
      </w:r>
      <w:r w:rsidR="00A400CF" w:rsidRPr="0085637E">
        <w:rPr>
          <w:color w:val="435D20" w:themeColor="accent2" w:themeShade="80"/>
          <w:sz w:val="16"/>
          <w:szCs w:val="16"/>
        </w:rPr>
        <w:t xml:space="preserve"> peut constater que le revenu n’est pas la seule variable expliquant l’arbitrage entre</w:t>
      </w:r>
      <w:r w:rsidR="00A400CF" w:rsidRPr="0085637E">
        <w:rPr>
          <w:color w:val="435D20" w:themeColor="accent2" w:themeShade="80"/>
          <w:sz w:val="16"/>
          <w:szCs w:val="16"/>
        </w:rPr>
        <w:t xml:space="preserve"> </w:t>
      </w:r>
      <w:r w:rsidR="00A400CF" w:rsidRPr="0085637E">
        <w:rPr>
          <w:color w:val="435D20" w:themeColor="accent2" w:themeShade="80"/>
          <w:sz w:val="16"/>
          <w:szCs w:val="16"/>
        </w:rPr>
        <w:t>l’épargne et la consommation. En effet, des variables démographiques (âge)</w:t>
      </w:r>
      <w:r w:rsidR="00A400CF" w:rsidRPr="0085637E">
        <w:rPr>
          <w:color w:val="435D20" w:themeColor="accent2" w:themeShade="80"/>
          <w:sz w:val="16"/>
          <w:szCs w:val="16"/>
        </w:rPr>
        <w:t>,</w:t>
      </w:r>
      <w:r w:rsidR="00A400CF" w:rsidRPr="0085637E">
        <w:rPr>
          <w:color w:val="435D20" w:themeColor="accent2" w:themeShade="80"/>
          <w:sz w:val="16"/>
          <w:szCs w:val="16"/>
        </w:rPr>
        <w:t xml:space="preserve"> sociales</w:t>
      </w:r>
      <w:r w:rsidR="00A400CF" w:rsidRPr="0085637E">
        <w:rPr>
          <w:color w:val="435D20" w:themeColor="accent2" w:themeShade="80"/>
          <w:sz w:val="16"/>
          <w:szCs w:val="16"/>
        </w:rPr>
        <w:t xml:space="preserve"> </w:t>
      </w:r>
      <w:r w:rsidR="00A400CF" w:rsidRPr="0085637E">
        <w:rPr>
          <w:color w:val="435D20" w:themeColor="accent2" w:themeShade="80"/>
          <w:sz w:val="16"/>
          <w:szCs w:val="16"/>
        </w:rPr>
        <w:t>(profession)</w:t>
      </w:r>
      <w:r w:rsidR="00A400CF" w:rsidRPr="0085637E">
        <w:rPr>
          <w:color w:val="435D20" w:themeColor="accent2" w:themeShade="80"/>
          <w:sz w:val="16"/>
          <w:szCs w:val="16"/>
        </w:rPr>
        <w:t>, et culturelles (culture du pays)</w:t>
      </w:r>
      <w:r w:rsidR="00A400CF" w:rsidRPr="0085637E">
        <w:rPr>
          <w:color w:val="435D20" w:themeColor="accent2" w:themeShade="80"/>
          <w:sz w:val="16"/>
          <w:szCs w:val="16"/>
        </w:rPr>
        <w:t xml:space="preserve"> ont également un impact sur cet arbitrage.</w:t>
      </w:r>
    </w:p>
    <w:p w14:paraId="03E2D5F9" w14:textId="048C0FB1" w:rsidR="00A400CF" w:rsidRPr="0085637E" w:rsidRDefault="00A400CF" w:rsidP="0085637E">
      <w:pPr>
        <w:pStyle w:val="Paragraphedeliste"/>
        <w:ind w:left="0" w:firstLine="720"/>
        <w:jc w:val="both"/>
        <w:rPr>
          <w:color w:val="435D20" w:themeColor="accent2" w:themeShade="80"/>
          <w:sz w:val="16"/>
          <w:szCs w:val="16"/>
        </w:rPr>
      </w:pPr>
      <w:r w:rsidRPr="0085637E">
        <w:rPr>
          <w:color w:val="FF0000"/>
          <w:sz w:val="16"/>
          <w:szCs w:val="16"/>
        </w:rPr>
        <w:t>E</w:t>
      </w:r>
      <w:r w:rsidR="0085637E" w:rsidRPr="0085637E">
        <w:rPr>
          <w:color w:val="FF0000"/>
          <w:sz w:val="16"/>
          <w:szCs w:val="16"/>
        </w:rPr>
        <w:t> </w:t>
      </w:r>
      <w:r w:rsidR="0085637E">
        <w:rPr>
          <w:color w:val="435D20" w:themeColor="accent2" w:themeShade="80"/>
          <w:sz w:val="16"/>
          <w:szCs w:val="16"/>
        </w:rPr>
        <w:t>:</w:t>
      </w:r>
      <w:r w:rsidRPr="0085637E">
        <w:rPr>
          <w:color w:val="435D20" w:themeColor="accent2" w:themeShade="80"/>
          <w:sz w:val="16"/>
          <w:szCs w:val="16"/>
        </w:rPr>
        <w:t xml:space="preserve"> </w:t>
      </w:r>
      <w:r w:rsidRPr="0085637E">
        <w:rPr>
          <w:b/>
          <w:bCs/>
          <w:color w:val="435D20" w:themeColor="accent2" w:themeShade="80"/>
          <w:sz w:val="16"/>
          <w:szCs w:val="16"/>
        </w:rPr>
        <w:t>On constate que le taux d’épargne augmente avec l’âge, or cela ne correspond pas toujours</w:t>
      </w:r>
      <w:r w:rsidRPr="0085637E">
        <w:rPr>
          <w:b/>
          <w:bCs/>
          <w:color w:val="435D20" w:themeColor="accent2" w:themeShade="80"/>
          <w:sz w:val="16"/>
          <w:szCs w:val="16"/>
        </w:rPr>
        <w:t xml:space="preserve"> </w:t>
      </w:r>
      <w:r w:rsidRPr="0085637E">
        <w:rPr>
          <w:b/>
          <w:bCs/>
          <w:color w:val="435D20" w:themeColor="accent2" w:themeShade="80"/>
          <w:sz w:val="16"/>
          <w:szCs w:val="16"/>
        </w:rPr>
        <w:t>à une augmentation du revenu</w:t>
      </w:r>
      <w:r w:rsidRPr="0085637E">
        <w:rPr>
          <w:color w:val="435D20" w:themeColor="accent2" w:themeShade="80"/>
          <w:sz w:val="16"/>
          <w:szCs w:val="16"/>
        </w:rPr>
        <w:t xml:space="preserve">. </w:t>
      </w:r>
    </w:p>
    <w:p w14:paraId="3BB85632" w14:textId="12E29CA3" w:rsidR="00A400CF" w:rsidRPr="0085637E" w:rsidRDefault="00A400CF" w:rsidP="0085637E">
      <w:pPr>
        <w:pStyle w:val="Paragraphedeliste"/>
        <w:ind w:firstLine="720"/>
        <w:jc w:val="both"/>
        <w:rPr>
          <w:color w:val="435D20" w:themeColor="accent2" w:themeShade="80"/>
          <w:sz w:val="16"/>
          <w:szCs w:val="16"/>
        </w:rPr>
      </w:pPr>
      <w:r w:rsidRPr="0085637E">
        <w:rPr>
          <w:color w:val="FF0000"/>
          <w:sz w:val="16"/>
          <w:szCs w:val="16"/>
        </w:rPr>
        <w:t>I</w:t>
      </w:r>
      <w:r w:rsidR="0085637E" w:rsidRPr="0085637E">
        <w:rPr>
          <w:color w:val="FF0000"/>
          <w:sz w:val="16"/>
          <w:szCs w:val="16"/>
        </w:rPr>
        <w:t> </w:t>
      </w:r>
      <w:r w:rsidR="0085637E">
        <w:rPr>
          <w:color w:val="435D20" w:themeColor="accent2" w:themeShade="80"/>
          <w:sz w:val="16"/>
          <w:szCs w:val="16"/>
        </w:rPr>
        <w:t>:</w:t>
      </w:r>
      <w:r w:rsidRPr="0085637E">
        <w:rPr>
          <w:color w:val="435D20" w:themeColor="accent2" w:themeShade="80"/>
          <w:sz w:val="16"/>
          <w:szCs w:val="16"/>
        </w:rPr>
        <w:t xml:space="preserve"> </w:t>
      </w:r>
      <w:r w:rsidRPr="0085637E">
        <w:rPr>
          <w:color w:val="435D20" w:themeColor="accent2" w:themeShade="80"/>
          <w:sz w:val="16"/>
          <w:szCs w:val="16"/>
        </w:rPr>
        <w:t>En particulier, on constate que l’épargne est particulièrement</w:t>
      </w:r>
      <w:r w:rsidRPr="0085637E">
        <w:rPr>
          <w:color w:val="435D20" w:themeColor="accent2" w:themeShade="80"/>
          <w:sz w:val="16"/>
          <w:szCs w:val="16"/>
        </w:rPr>
        <w:t xml:space="preserve"> </w:t>
      </w:r>
      <w:r w:rsidRPr="0085637E">
        <w:rPr>
          <w:color w:val="435D20" w:themeColor="accent2" w:themeShade="80"/>
          <w:sz w:val="16"/>
          <w:szCs w:val="16"/>
        </w:rPr>
        <w:t>faible pour les moins de 30 ans qui désépargnent probablement investir dans leurs études</w:t>
      </w:r>
      <w:r w:rsidRPr="0085637E">
        <w:rPr>
          <w:color w:val="435D20" w:themeColor="accent2" w:themeShade="80"/>
          <w:sz w:val="16"/>
          <w:szCs w:val="16"/>
        </w:rPr>
        <w:t xml:space="preserve"> </w:t>
      </w:r>
      <w:r w:rsidRPr="0085637E">
        <w:rPr>
          <w:color w:val="435D20" w:themeColor="accent2" w:themeShade="80"/>
          <w:sz w:val="16"/>
          <w:szCs w:val="16"/>
        </w:rPr>
        <w:t>alors qu’elle est particulièrement élevée pour les plus de 70 ans, probablement car ils</w:t>
      </w:r>
      <w:r w:rsidRPr="0085637E">
        <w:rPr>
          <w:color w:val="435D20" w:themeColor="accent2" w:themeShade="80"/>
          <w:sz w:val="16"/>
          <w:szCs w:val="16"/>
        </w:rPr>
        <w:t xml:space="preserve"> </w:t>
      </w:r>
      <w:r w:rsidRPr="0085637E">
        <w:rPr>
          <w:color w:val="435D20" w:themeColor="accent2" w:themeShade="80"/>
          <w:sz w:val="16"/>
          <w:szCs w:val="16"/>
        </w:rPr>
        <w:t>épargnent pour un motif de transmission (héritage).</w:t>
      </w:r>
    </w:p>
    <w:p w14:paraId="278663DA" w14:textId="155C7501" w:rsidR="00A400CF" w:rsidRPr="0085637E" w:rsidRDefault="00A400CF" w:rsidP="0085637E">
      <w:pPr>
        <w:pStyle w:val="Paragraphedeliste"/>
        <w:ind w:left="0" w:firstLine="720"/>
        <w:jc w:val="both"/>
        <w:rPr>
          <w:b/>
          <w:bCs/>
          <w:color w:val="435D20" w:themeColor="accent2" w:themeShade="80"/>
          <w:sz w:val="16"/>
          <w:szCs w:val="16"/>
        </w:rPr>
      </w:pPr>
      <w:r w:rsidRPr="0085637E">
        <w:rPr>
          <w:color w:val="FF0000"/>
          <w:sz w:val="16"/>
          <w:szCs w:val="16"/>
        </w:rPr>
        <w:t>E</w:t>
      </w:r>
      <w:r w:rsidRPr="0085637E">
        <w:rPr>
          <w:color w:val="435D20" w:themeColor="accent2" w:themeShade="80"/>
          <w:sz w:val="16"/>
          <w:szCs w:val="16"/>
        </w:rPr>
        <w:t xml:space="preserve">. </w:t>
      </w:r>
      <w:r w:rsidRPr="0085637E">
        <w:rPr>
          <w:b/>
          <w:bCs/>
          <w:color w:val="435D20" w:themeColor="accent2" w:themeShade="80"/>
          <w:sz w:val="16"/>
          <w:szCs w:val="16"/>
        </w:rPr>
        <w:t xml:space="preserve">On constate également que les professions nécessitant </w:t>
      </w:r>
      <w:r w:rsidRPr="0085637E">
        <w:rPr>
          <w:b/>
          <w:bCs/>
          <w:color w:val="435D20" w:themeColor="accent2" w:themeShade="80"/>
          <w:sz w:val="16"/>
          <w:szCs w:val="16"/>
        </w:rPr>
        <w:t>un forte capacité</w:t>
      </w:r>
      <w:r w:rsidRPr="0085637E">
        <w:rPr>
          <w:b/>
          <w:bCs/>
          <w:color w:val="435D20" w:themeColor="accent2" w:themeShade="80"/>
          <w:sz w:val="16"/>
          <w:szCs w:val="16"/>
        </w:rPr>
        <w:t xml:space="preserve"> d’autofinancement</w:t>
      </w:r>
      <w:r w:rsidRPr="0085637E">
        <w:rPr>
          <w:b/>
          <w:bCs/>
          <w:color w:val="435D20" w:themeColor="accent2" w:themeShade="80"/>
          <w:sz w:val="16"/>
          <w:szCs w:val="16"/>
        </w:rPr>
        <w:t xml:space="preserve"> </w:t>
      </w:r>
      <w:r w:rsidRPr="0085637E">
        <w:rPr>
          <w:b/>
          <w:bCs/>
          <w:color w:val="435D20" w:themeColor="accent2" w:themeShade="80"/>
          <w:sz w:val="16"/>
          <w:szCs w:val="16"/>
        </w:rPr>
        <w:t>ont un taux d’épargne plus élevé que les autres professions relativement à leur revenu</w:t>
      </w:r>
      <w:r w:rsidRPr="0085637E">
        <w:rPr>
          <w:b/>
          <w:bCs/>
          <w:color w:val="435D20" w:themeColor="accent2" w:themeShade="80"/>
          <w:sz w:val="16"/>
          <w:szCs w:val="16"/>
        </w:rPr>
        <w:t xml:space="preserve"> </w:t>
      </w:r>
      <w:r w:rsidRPr="0085637E">
        <w:rPr>
          <w:b/>
          <w:bCs/>
          <w:color w:val="435D20" w:themeColor="accent2" w:themeShade="80"/>
          <w:sz w:val="16"/>
          <w:szCs w:val="16"/>
        </w:rPr>
        <w:t>(agriculteurs et artisans, chefs d’entreprises…). On peut également faire ce constat pour les</w:t>
      </w:r>
      <w:r w:rsidRPr="0085637E">
        <w:rPr>
          <w:b/>
          <w:bCs/>
          <w:color w:val="435D20" w:themeColor="accent2" w:themeShade="80"/>
          <w:sz w:val="16"/>
          <w:szCs w:val="16"/>
        </w:rPr>
        <w:t xml:space="preserve"> </w:t>
      </w:r>
      <w:r w:rsidRPr="0085637E">
        <w:rPr>
          <w:b/>
          <w:bCs/>
          <w:color w:val="435D20" w:themeColor="accent2" w:themeShade="80"/>
          <w:sz w:val="16"/>
          <w:szCs w:val="16"/>
        </w:rPr>
        <w:t>ménages les plus précaires, notamment les inactifs, et un degré moindre les ouvriers.</w:t>
      </w:r>
    </w:p>
    <w:p w14:paraId="17017751" w14:textId="1A9FDEFA" w:rsidR="00A400CF" w:rsidRPr="0085637E" w:rsidRDefault="00A400CF" w:rsidP="0085637E">
      <w:pPr>
        <w:pStyle w:val="Paragraphedeliste"/>
        <w:ind w:left="0"/>
        <w:jc w:val="both"/>
        <w:rPr>
          <w:color w:val="435D20" w:themeColor="accent2" w:themeShade="80"/>
          <w:sz w:val="16"/>
          <w:szCs w:val="16"/>
        </w:rPr>
      </w:pPr>
      <w:r w:rsidRPr="0085637E">
        <w:rPr>
          <w:color w:val="435D20" w:themeColor="accent2" w:themeShade="80"/>
          <w:sz w:val="16"/>
          <w:szCs w:val="16"/>
        </w:rPr>
        <w:tab/>
      </w:r>
      <w:r w:rsidR="0085637E">
        <w:rPr>
          <w:color w:val="435D20" w:themeColor="accent2" w:themeShade="80"/>
          <w:sz w:val="16"/>
          <w:szCs w:val="16"/>
        </w:rPr>
        <w:tab/>
      </w:r>
      <w:r w:rsidRPr="0085637E">
        <w:rPr>
          <w:color w:val="FF0000"/>
          <w:sz w:val="16"/>
          <w:szCs w:val="16"/>
        </w:rPr>
        <w:t>I</w:t>
      </w:r>
      <w:r w:rsidRPr="0085637E">
        <w:rPr>
          <w:color w:val="435D20" w:themeColor="accent2" w:themeShade="80"/>
          <w:sz w:val="16"/>
          <w:szCs w:val="16"/>
        </w:rPr>
        <w:t xml:space="preserve">. Les artisans commerçants </w:t>
      </w:r>
      <w:r w:rsidR="0085637E" w:rsidRPr="0085637E">
        <w:rPr>
          <w:color w:val="435D20" w:themeColor="accent2" w:themeShade="80"/>
          <w:sz w:val="16"/>
          <w:szCs w:val="16"/>
        </w:rPr>
        <w:t>ont un taux d’épargne bien plus élevé (36.17%) que les employés (10.90%)</w:t>
      </w:r>
    </w:p>
    <w:p w14:paraId="32E53121" w14:textId="7771DA7E" w:rsidR="0085637E" w:rsidRPr="0085637E" w:rsidRDefault="0085637E" w:rsidP="0085637E">
      <w:pPr>
        <w:pStyle w:val="Paragraphedeliste"/>
        <w:ind w:left="0" w:firstLine="720"/>
        <w:jc w:val="both"/>
        <w:rPr>
          <w:color w:val="435D20" w:themeColor="accent2" w:themeShade="80"/>
          <w:sz w:val="16"/>
          <w:szCs w:val="16"/>
        </w:rPr>
      </w:pPr>
      <w:r w:rsidRPr="0085637E">
        <w:rPr>
          <w:color w:val="FF0000"/>
          <w:sz w:val="16"/>
          <w:szCs w:val="16"/>
        </w:rPr>
        <w:t>E</w:t>
      </w:r>
      <w:r w:rsidRPr="0085637E">
        <w:rPr>
          <w:color w:val="435D20" w:themeColor="accent2" w:themeShade="80"/>
          <w:sz w:val="16"/>
          <w:szCs w:val="16"/>
        </w:rPr>
        <w:t xml:space="preserve">. </w:t>
      </w:r>
      <w:r w:rsidRPr="00B1300F">
        <w:rPr>
          <w:b/>
          <w:bCs/>
          <w:color w:val="435D20" w:themeColor="accent2" w:themeShade="80"/>
          <w:sz w:val="16"/>
          <w:szCs w:val="16"/>
        </w:rPr>
        <w:t>Nous savons que la culture du pays influence également les arbitrages</w:t>
      </w:r>
      <w:r w:rsidRPr="0085637E">
        <w:rPr>
          <w:color w:val="435D20" w:themeColor="accent2" w:themeShade="80"/>
          <w:sz w:val="16"/>
          <w:szCs w:val="16"/>
        </w:rPr>
        <w:t xml:space="preserve"> </w:t>
      </w:r>
    </w:p>
    <w:p w14:paraId="65D7FCE5" w14:textId="0239D46C" w:rsidR="0085637E" w:rsidRPr="0085637E" w:rsidRDefault="0085637E" w:rsidP="0085637E">
      <w:pPr>
        <w:pStyle w:val="Paragraphedeliste"/>
        <w:ind w:left="0"/>
        <w:jc w:val="both"/>
        <w:rPr>
          <w:color w:val="435D20" w:themeColor="accent2" w:themeShade="80"/>
          <w:sz w:val="16"/>
          <w:szCs w:val="16"/>
        </w:rPr>
      </w:pPr>
      <w:r w:rsidRPr="0085637E">
        <w:rPr>
          <w:color w:val="435D20" w:themeColor="accent2" w:themeShade="80"/>
          <w:sz w:val="16"/>
          <w:szCs w:val="16"/>
        </w:rPr>
        <w:tab/>
      </w:r>
      <w:r>
        <w:rPr>
          <w:color w:val="435D20" w:themeColor="accent2" w:themeShade="80"/>
          <w:sz w:val="16"/>
          <w:szCs w:val="16"/>
        </w:rPr>
        <w:tab/>
      </w:r>
      <w:r w:rsidRPr="0085637E">
        <w:rPr>
          <w:color w:val="FF0000"/>
          <w:sz w:val="16"/>
          <w:szCs w:val="16"/>
        </w:rPr>
        <w:t xml:space="preserve">I </w:t>
      </w:r>
      <w:r w:rsidRPr="0085637E">
        <w:rPr>
          <w:color w:val="435D20" w:themeColor="accent2" w:themeShade="80"/>
          <w:sz w:val="16"/>
          <w:szCs w:val="16"/>
        </w:rPr>
        <w:t>les français épargnent beaucoup plus que les américains (chiffres non attendus)</w:t>
      </w:r>
    </w:p>
    <w:p w14:paraId="4A16DB20" w14:textId="6E91FD59" w:rsidR="00A400CF" w:rsidRPr="0085637E" w:rsidRDefault="0085637E" w:rsidP="0085637E">
      <w:pPr>
        <w:pStyle w:val="Paragraphedeliste"/>
        <w:ind w:left="0"/>
        <w:jc w:val="both"/>
        <w:rPr>
          <w:color w:val="435D20" w:themeColor="accent2" w:themeShade="80"/>
          <w:sz w:val="16"/>
          <w:szCs w:val="16"/>
        </w:rPr>
      </w:pPr>
      <w:r w:rsidRPr="0085637E">
        <w:rPr>
          <w:b/>
          <w:bCs/>
          <w:color w:val="435D20" w:themeColor="accent2" w:themeShade="80"/>
          <w:sz w:val="16"/>
          <w:szCs w:val="16"/>
        </w:rPr>
        <w:t>Conclusion :</w:t>
      </w:r>
      <w:r w:rsidRPr="0085637E">
        <w:rPr>
          <w:color w:val="435D20" w:themeColor="accent2" w:themeShade="80"/>
          <w:sz w:val="16"/>
          <w:szCs w:val="16"/>
        </w:rPr>
        <w:t xml:space="preserve"> </w:t>
      </w:r>
      <w:r w:rsidR="00A400CF" w:rsidRPr="0085637E">
        <w:rPr>
          <w:color w:val="435D20" w:themeColor="accent2" w:themeShade="80"/>
          <w:sz w:val="16"/>
          <w:szCs w:val="16"/>
        </w:rPr>
        <w:t>On constate en fonction de l’âge</w:t>
      </w:r>
      <w:r w:rsidRPr="0085637E">
        <w:rPr>
          <w:color w:val="435D20" w:themeColor="accent2" w:themeShade="80"/>
          <w:sz w:val="16"/>
          <w:szCs w:val="16"/>
        </w:rPr>
        <w:t>, de la culture</w:t>
      </w:r>
      <w:r w:rsidR="00A400CF" w:rsidRPr="0085637E">
        <w:rPr>
          <w:color w:val="435D20" w:themeColor="accent2" w:themeShade="80"/>
          <w:sz w:val="16"/>
          <w:szCs w:val="16"/>
        </w:rPr>
        <w:t xml:space="preserve"> et de la profession que les motifs </w:t>
      </w:r>
      <w:r w:rsidRPr="0085637E">
        <w:rPr>
          <w:color w:val="435D20" w:themeColor="accent2" w:themeShade="80"/>
          <w:sz w:val="16"/>
          <w:szCs w:val="16"/>
        </w:rPr>
        <w:t>d’épargne</w:t>
      </w:r>
      <w:r w:rsidR="00A400CF" w:rsidRPr="0085637E">
        <w:rPr>
          <w:color w:val="435D20" w:themeColor="accent2" w:themeShade="80"/>
          <w:sz w:val="16"/>
          <w:szCs w:val="16"/>
        </w:rPr>
        <w:t xml:space="preserve"> sont à prendre en compte lorsqu’on étudie l’arbitrage</w:t>
      </w:r>
      <w:r w:rsidR="00A400CF" w:rsidRPr="0085637E">
        <w:rPr>
          <w:color w:val="435D20" w:themeColor="accent2" w:themeShade="80"/>
          <w:sz w:val="16"/>
          <w:szCs w:val="16"/>
        </w:rPr>
        <w:t xml:space="preserve"> </w:t>
      </w:r>
      <w:r w:rsidR="00A400CF" w:rsidRPr="0085637E">
        <w:rPr>
          <w:color w:val="435D20" w:themeColor="accent2" w:themeShade="80"/>
          <w:sz w:val="16"/>
          <w:szCs w:val="16"/>
        </w:rPr>
        <w:t>consommation-épargne.</w:t>
      </w:r>
    </w:p>
    <w:sectPr w:rsidR="00A400CF" w:rsidRPr="0085637E" w:rsidSect="002238DE">
      <w:headerReference w:type="default" r:id="rId9"/>
      <w:footerReference w:type="default" r:id="rId10"/>
      <w:pgSz w:w="12240" w:h="15840" w:code="1"/>
      <w:pgMar w:top="720" w:right="720" w:bottom="720" w:left="720" w:header="720" w:footer="8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7CD5D" w14:textId="77777777" w:rsidR="00EB33AF" w:rsidRDefault="00EB33AF">
      <w:pPr>
        <w:spacing w:after="0" w:line="240" w:lineRule="auto"/>
      </w:pPr>
      <w:r>
        <w:separator/>
      </w:r>
    </w:p>
  </w:endnote>
  <w:endnote w:type="continuationSeparator" w:id="0">
    <w:p w14:paraId="7908F580" w14:textId="77777777" w:rsidR="00EB33AF" w:rsidRDefault="00EB3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uidePedagoTimes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uidePedagoTimes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uidePedagoNCon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uidePedagoNCond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SemiCond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 Bk">
    <w:altName w:val="Roboto B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altName w:val="Cambria Math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oSans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2923348"/>
      <w:docPartObj>
        <w:docPartGallery w:val="Page Numbers (Bottom of Page)"/>
        <w:docPartUnique/>
      </w:docPartObj>
    </w:sdtPr>
    <w:sdtEndPr>
      <w:rPr>
        <w:color w:val="808080" w:themeColor="background1" w:themeShade="80"/>
      </w:rPr>
    </w:sdtEndPr>
    <w:sdtContent>
      <w:p w14:paraId="28E9B46D" w14:textId="77777777" w:rsidR="00AA5F9F" w:rsidRPr="00BC6919" w:rsidRDefault="00AA5F9F">
        <w:pPr>
          <w:pStyle w:val="Pieddepage"/>
          <w:rPr>
            <w:color w:val="808080" w:themeColor="background1" w:themeShade="80"/>
          </w:rPr>
        </w:pPr>
        <w:r w:rsidRPr="00BC6919">
          <w:rPr>
            <w:color w:val="808080" w:themeColor="background1" w:themeShade="80"/>
          </w:rPr>
          <w:fldChar w:fldCharType="begin"/>
        </w:r>
        <w:r w:rsidRPr="00BC6919">
          <w:rPr>
            <w:color w:val="808080" w:themeColor="background1" w:themeShade="80"/>
          </w:rPr>
          <w:instrText>PAGE   \* MERGEFORMAT</w:instrText>
        </w:r>
        <w:r w:rsidRPr="00BC6919">
          <w:rPr>
            <w:color w:val="808080" w:themeColor="background1" w:themeShade="80"/>
          </w:rPr>
          <w:fldChar w:fldCharType="separate"/>
        </w:r>
        <w:r>
          <w:rPr>
            <w:color w:val="808080" w:themeColor="background1" w:themeShade="80"/>
          </w:rPr>
          <w:t>5</w:t>
        </w:r>
        <w:r w:rsidRPr="00BC6919">
          <w:rPr>
            <w:color w:val="808080" w:themeColor="background1" w:themeShade="80"/>
          </w:rPr>
          <w:fldChar w:fldCharType="end"/>
        </w:r>
      </w:p>
    </w:sdtContent>
  </w:sdt>
  <w:p w14:paraId="28E9B46E" w14:textId="77777777" w:rsidR="00AA5F9F" w:rsidRDefault="00AA5F9F" w:rsidP="008C01F4">
    <w:pPr>
      <w:pStyle w:val="Pieddepage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FA0AB2" w14:textId="77777777" w:rsidR="00EB33AF" w:rsidRDefault="00EB33AF">
      <w:pPr>
        <w:spacing w:after="0" w:line="240" w:lineRule="auto"/>
      </w:pPr>
      <w:r>
        <w:separator/>
      </w:r>
    </w:p>
  </w:footnote>
  <w:footnote w:type="continuationSeparator" w:id="0">
    <w:p w14:paraId="09B17068" w14:textId="77777777" w:rsidR="00EB33AF" w:rsidRDefault="00EB3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9B46A" w14:textId="77777777" w:rsidR="00AA5F9F" w:rsidRPr="00BC6919" w:rsidRDefault="00AA5F9F">
    <w:pPr>
      <w:pStyle w:val="En-tte"/>
      <w:rPr>
        <w:color w:val="808080" w:themeColor="background1" w:themeShade="80"/>
      </w:rPr>
    </w:pPr>
    <w:r w:rsidRPr="00BC6919">
      <w:rPr>
        <w:color w:val="808080" w:themeColor="background1" w:themeShade="80"/>
      </w:rPr>
      <w:t>Date :</w:t>
    </w:r>
    <w:r w:rsidRPr="00BC6919">
      <w:rPr>
        <w:color w:val="808080" w:themeColor="background1" w:themeShade="80"/>
      </w:rPr>
      <w:tab/>
    </w:r>
    <w:r w:rsidRPr="00BC6919">
      <w:rPr>
        <w:color w:val="808080" w:themeColor="background1" w:themeShade="80"/>
      </w:rPr>
      <w:tab/>
      <w:t>Mme Maggion</w:t>
    </w:r>
  </w:p>
  <w:p w14:paraId="28E9B46B" w14:textId="77777777" w:rsidR="00AA5F9F" w:rsidRPr="00BC6919" w:rsidRDefault="00AA5F9F" w:rsidP="0052687D">
    <w:pPr>
      <w:pStyle w:val="En-tte"/>
      <w:rPr>
        <w:color w:val="808080" w:themeColor="background1" w:themeShade="80"/>
      </w:rPr>
    </w:pPr>
    <w:r w:rsidRPr="00BC6919">
      <w:rPr>
        <w:color w:val="808080" w:themeColor="background1" w:themeShade="80"/>
      </w:rPr>
      <w:t>Nom et Prénom :</w:t>
    </w:r>
    <w:r w:rsidRPr="00BC6919">
      <w:rPr>
        <w:color w:val="808080" w:themeColor="background1" w:themeShade="80"/>
      </w:rPr>
      <w:tab/>
    </w:r>
    <w:r w:rsidRPr="00BC6919">
      <w:rPr>
        <w:color w:val="808080" w:themeColor="background1" w:themeShade="80"/>
      </w:rPr>
      <w:tab/>
    </w:r>
    <w:r>
      <w:rPr>
        <w:color w:val="808080" w:themeColor="background1" w:themeShade="80"/>
      </w:rPr>
      <w:t>Economie</w:t>
    </w:r>
  </w:p>
  <w:p w14:paraId="28E9B46C" w14:textId="77777777" w:rsidR="00AA5F9F" w:rsidRPr="00BC6919" w:rsidRDefault="00AA5F9F">
    <w:pPr>
      <w:pStyle w:val="En-tte"/>
      <w:rPr>
        <w:color w:val="808080" w:themeColor="background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D582D"/>
    <w:multiLevelType w:val="hybridMultilevel"/>
    <w:tmpl w:val="A95811AE"/>
    <w:lvl w:ilvl="0" w:tplc="B5EA7064">
      <w:start w:val="1"/>
      <w:numFmt w:val="upperLetter"/>
      <w:pStyle w:val="Titre2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25F6C"/>
    <w:multiLevelType w:val="hybridMultilevel"/>
    <w:tmpl w:val="C3C01886"/>
    <w:lvl w:ilvl="0" w:tplc="72882C5A">
      <w:start w:val="1"/>
      <w:numFmt w:val="bullet"/>
      <w:pStyle w:val="Tableaulistepuce"/>
      <w:lvlText w:val=""/>
      <w:lvlJc w:val="left"/>
      <w:pPr>
        <w:tabs>
          <w:tab w:val="num" w:pos="57"/>
        </w:tabs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4242D"/>
    <w:multiLevelType w:val="hybridMultilevel"/>
    <w:tmpl w:val="19F8A01E"/>
    <w:lvl w:ilvl="0" w:tplc="4C74556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F3533F" w:themeColor="accent6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9D58C6"/>
    <w:multiLevelType w:val="multilevel"/>
    <w:tmpl w:val="D82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24894"/>
    <w:multiLevelType w:val="hybridMultilevel"/>
    <w:tmpl w:val="F21EFB4A"/>
    <w:lvl w:ilvl="0" w:tplc="FDB225B8">
      <w:start w:val="1"/>
      <w:numFmt w:val="decimal"/>
      <w:pStyle w:val="Titre3"/>
      <w:lvlText w:val="%1."/>
      <w:lvlJc w:val="left"/>
      <w:pPr>
        <w:ind w:left="720" w:hanging="360"/>
      </w:pPr>
      <w:rPr>
        <w:color w:val="auto"/>
      </w:rPr>
    </w:lvl>
    <w:lvl w:ilvl="1" w:tplc="5DD42366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10190"/>
    <w:multiLevelType w:val="hybridMultilevel"/>
    <w:tmpl w:val="AD5E7C74"/>
    <w:lvl w:ilvl="0" w:tplc="A10CC7D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color w:val="F3533F" w:themeColor="accent6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7C53EA"/>
    <w:multiLevelType w:val="hybridMultilevel"/>
    <w:tmpl w:val="7152DB0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660A83"/>
    <w:multiLevelType w:val="hybridMultilevel"/>
    <w:tmpl w:val="5DC26FD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447032"/>
    <w:multiLevelType w:val="hybridMultilevel"/>
    <w:tmpl w:val="13F60E42"/>
    <w:lvl w:ilvl="0" w:tplc="56E632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F757DE"/>
    <w:multiLevelType w:val="hybridMultilevel"/>
    <w:tmpl w:val="6AF6BFF8"/>
    <w:lvl w:ilvl="0" w:tplc="EBF812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7E5D71"/>
    <w:multiLevelType w:val="hybridMultilevel"/>
    <w:tmpl w:val="BFBE56B6"/>
    <w:lvl w:ilvl="0" w:tplc="DF622CE6">
      <w:start w:val="1"/>
      <w:numFmt w:val="bullet"/>
      <w:pStyle w:val="Listepuces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5B9BD5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D70143"/>
    <w:multiLevelType w:val="hybridMultilevel"/>
    <w:tmpl w:val="4E601BC2"/>
    <w:lvl w:ilvl="0" w:tplc="8FB0FBBA">
      <w:start w:val="1"/>
      <w:numFmt w:val="bullet"/>
      <w:pStyle w:val="TEnumpuce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995BE5"/>
    <w:multiLevelType w:val="hybridMultilevel"/>
    <w:tmpl w:val="EA6CF41A"/>
    <w:lvl w:ilvl="0" w:tplc="1D4C43DC">
      <w:start w:val="1"/>
      <w:numFmt w:val="upperRoman"/>
      <w:pStyle w:val="Titre1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980D50"/>
    <w:multiLevelType w:val="hybridMultilevel"/>
    <w:tmpl w:val="F0A69CCC"/>
    <w:lvl w:ilvl="0" w:tplc="2E606E32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CE1EB0"/>
    <w:multiLevelType w:val="hybridMultilevel"/>
    <w:tmpl w:val="50B0FFC0"/>
    <w:lvl w:ilvl="0" w:tplc="C2C21D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6A1C0F"/>
    <w:multiLevelType w:val="hybridMultilevel"/>
    <w:tmpl w:val="A27C1BE8"/>
    <w:lvl w:ilvl="0" w:tplc="6A8AA9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614CB"/>
    <w:multiLevelType w:val="hybridMultilevel"/>
    <w:tmpl w:val="40CC4836"/>
    <w:lvl w:ilvl="0" w:tplc="1B56287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DD3EA4"/>
    <w:multiLevelType w:val="hybridMultilevel"/>
    <w:tmpl w:val="911ED404"/>
    <w:lvl w:ilvl="0" w:tplc="A9FC94E8">
      <w:start w:val="1"/>
      <w:numFmt w:val="bullet"/>
      <w:pStyle w:val="TEnumtiret"/>
      <w:lvlText w:val="-"/>
      <w:lvlJc w:val="left"/>
      <w:pPr>
        <w:tabs>
          <w:tab w:val="num" w:pos="113"/>
        </w:tabs>
      </w:pPr>
      <w:rPr>
        <w:rFonts w:ascii="Courier New" w:hAnsi="Courier New" w:hint="default"/>
        <w:b w:val="0"/>
        <w:i w:val="0"/>
        <w:sz w:val="18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</w:num>
  <w:num w:numId="2">
    <w:abstractNumId w:val="0"/>
  </w:num>
  <w:num w:numId="3">
    <w:abstractNumId w:val="13"/>
  </w:num>
  <w:num w:numId="4">
    <w:abstractNumId w:val="13"/>
  </w:num>
  <w:num w:numId="5">
    <w:abstractNumId w:val="4"/>
  </w:num>
  <w:num w:numId="6">
    <w:abstractNumId w:val="4"/>
    <w:lvlOverride w:ilvl="0">
      <w:startOverride w:val="1"/>
    </w:lvlOverride>
  </w:num>
  <w:num w:numId="7">
    <w:abstractNumId w:val="12"/>
  </w:num>
  <w:num w:numId="8">
    <w:abstractNumId w:val="14"/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17"/>
  </w:num>
  <w:num w:numId="12">
    <w:abstractNumId w:val="0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4"/>
    <w:lvlOverride w:ilvl="0">
      <w:startOverride w:val="1"/>
    </w:lvlOverride>
  </w:num>
  <w:num w:numId="15">
    <w:abstractNumId w:val="16"/>
  </w:num>
  <w:num w:numId="16">
    <w:abstractNumId w:val="4"/>
    <w:lvlOverride w:ilvl="0">
      <w:startOverride w:val="1"/>
    </w:lvlOverride>
  </w:num>
  <w:num w:numId="17">
    <w:abstractNumId w:val="11"/>
  </w:num>
  <w:num w:numId="18">
    <w:abstractNumId w:val="17"/>
  </w:num>
  <w:num w:numId="19">
    <w:abstractNumId w:val="11"/>
  </w:num>
  <w:num w:numId="20">
    <w:abstractNumId w:val="4"/>
    <w:lvlOverride w:ilvl="0">
      <w:startOverride w:val="1"/>
    </w:lvlOverride>
  </w:num>
  <w:num w:numId="21">
    <w:abstractNumId w:val="4"/>
    <w:lvlOverride w:ilvl="0">
      <w:startOverride w:val="1"/>
    </w:lvlOverride>
  </w:num>
  <w:num w:numId="22">
    <w:abstractNumId w:val="1"/>
  </w:num>
  <w:num w:numId="23">
    <w:abstractNumId w:val="4"/>
    <w:lvlOverride w:ilvl="0">
      <w:startOverride w:val="1"/>
    </w:lvlOverride>
  </w:num>
  <w:num w:numId="24">
    <w:abstractNumId w:val="4"/>
    <w:lvlOverride w:ilvl="0">
      <w:startOverride w:val="1"/>
    </w:lvlOverride>
  </w:num>
  <w:num w:numId="25">
    <w:abstractNumId w:val="4"/>
    <w:lvlOverride w:ilvl="0">
      <w:startOverride w:val="1"/>
    </w:lvlOverride>
  </w:num>
  <w:num w:numId="26">
    <w:abstractNumId w:val="4"/>
    <w:lvlOverride w:ilvl="0">
      <w:startOverride w:val="1"/>
    </w:lvlOverride>
  </w:num>
  <w:num w:numId="27">
    <w:abstractNumId w:val="5"/>
  </w:num>
  <w:num w:numId="28">
    <w:abstractNumId w:val="3"/>
  </w:num>
  <w:num w:numId="29">
    <w:abstractNumId w:val="8"/>
  </w:num>
  <w:num w:numId="30">
    <w:abstractNumId w:val="6"/>
  </w:num>
  <w:num w:numId="31">
    <w:abstractNumId w:val="4"/>
    <w:lvlOverride w:ilvl="0">
      <w:startOverride w:val="1"/>
    </w:lvlOverride>
  </w:num>
  <w:num w:numId="32">
    <w:abstractNumId w:val="4"/>
    <w:lvlOverride w:ilvl="0">
      <w:startOverride w:val="1"/>
    </w:lvlOverride>
  </w:num>
  <w:num w:numId="33">
    <w:abstractNumId w:val="9"/>
  </w:num>
  <w:num w:numId="34">
    <w:abstractNumId w:val="15"/>
  </w:num>
  <w:num w:numId="35">
    <w:abstractNumId w:val="2"/>
  </w:num>
  <w:num w:numId="36">
    <w:abstractNumId w:val="4"/>
  </w:num>
  <w:num w:numId="37">
    <w:abstractNumId w:val="4"/>
    <w:lvlOverride w:ilvl="0">
      <w:startOverride w:val="1"/>
    </w:lvlOverride>
  </w:num>
  <w:num w:numId="38">
    <w:abstractNumId w:val="4"/>
    <w:lvlOverride w:ilvl="0">
      <w:startOverride w:val="1"/>
    </w:lvlOverride>
  </w:num>
  <w:num w:numId="39">
    <w:abstractNumId w:val="4"/>
    <w:lvlOverride w:ilvl="0">
      <w:startOverride w:val="1"/>
    </w:lvlOverride>
  </w:num>
  <w:num w:numId="40">
    <w:abstractNumId w:val="4"/>
    <w:lvlOverride w:ilvl="0">
      <w:startOverride w:val="1"/>
    </w:lvlOverride>
  </w:num>
  <w:num w:numId="41">
    <w:abstractNumId w:val="4"/>
    <w:lvlOverride w:ilvl="0">
      <w:startOverride w:val="1"/>
    </w:lvlOverride>
  </w:num>
  <w:num w:numId="42">
    <w:abstractNumId w:val="4"/>
    <w:lvlOverride w:ilvl="0">
      <w:startOverride w:val="1"/>
    </w:lvlOverride>
  </w:num>
  <w:num w:numId="43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623"/>
    <w:rsid w:val="00014447"/>
    <w:rsid w:val="00017BF5"/>
    <w:rsid w:val="00034FCE"/>
    <w:rsid w:val="00051A73"/>
    <w:rsid w:val="00057ECB"/>
    <w:rsid w:val="000631EB"/>
    <w:rsid w:val="00071E6B"/>
    <w:rsid w:val="00083521"/>
    <w:rsid w:val="00093913"/>
    <w:rsid w:val="000B020E"/>
    <w:rsid w:val="000F58D6"/>
    <w:rsid w:val="00103E57"/>
    <w:rsid w:val="001058DA"/>
    <w:rsid w:val="001119F2"/>
    <w:rsid w:val="0012777D"/>
    <w:rsid w:val="0018463B"/>
    <w:rsid w:val="001C5DEB"/>
    <w:rsid w:val="001C6251"/>
    <w:rsid w:val="002139D7"/>
    <w:rsid w:val="002179C8"/>
    <w:rsid w:val="002201A0"/>
    <w:rsid w:val="002238DE"/>
    <w:rsid w:val="00225582"/>
    <w:rsid w:val="002359ED"/>
    <w:rsid w:val="00237D0E"/>
    <w:rsid w:val="00247B0E"/>
    <w:rsid w:val="00255472"/>
    <w:rsid w:val="00265E1B"/>
    <w:rsid w:val="00274FB3"/>
    <w:rsid w:val="002769D6"/>
    <w:rsid w:val="002B0AC0"/>
    <w:rsid w:val="002C1D8B"/>
    <w:rsid w:val="002C6551"/>
    <w:rsid w:val="002D24E0"/>
    <w:rsid w:val="002D52B4"/>
    <w:rsid w:val="002D58E5"/>
    <w:rsid w:val="002E5818"/>
    <w:rsid w:val="002E6DA3"/>
    <w:rsid w:val="002F6A91"/>
    <w:rsid w:val="00300467"/>
    <w:rsid w:val="00304FEC"/>
    <w:rsid w:val="00323AAB"/>
    <w:rsid w:val="00324E87"/>
    <w:rsid w:val="00331E7F"/>
    <w:rsid w:val="003344E7"/>
    <w:rsid w:val="00350784"/>
    <w:rsid w:val="003541E3"/>
    <w:rsid w:val="00363BA4"/>
    <w:rsid w:val="003A1FBA"/>
    <w:rsid w:val="003A650C"/>
    <w:rsid w:val="003B6594"/>
    <w:rsid w:val="003D7512"/>
    <w:rsid w:val="003D7E2A"/>
    <w:rsid w:val="003E3099"/>
    <w:rsid w:val="003E38CE"/>
    <w:rsid w:val="004044AD"/>
    <w:rsid w:val="00433125"/>
    <w:rsid w:val="00453B31"/>
    <w:rsid w:val="004665FF"/>
    <w:rsid w:val="00473189"/>
    <w:rsid w:val="004A7345"/>
    <w:rsid w:val="004B4D31"/>
    <w:rsid w:val="004E5FA3"/>
    <w:rsid w:val="005056D8"/>
    <w:rsid w:val="00521EF2"/>
    <w:rsid w:val="0052687D"/>
    <w:rsid w:val="00541DBD"/>
    <w:rsid w:val="005421FE"/>
    <w:rsid w:val="00560812"/>
    <w:rsid w:val="00560D02"/>
    <w:rsid w:val="00574D6F"/>
    <w:rsid w:val="00576B27"/>
    <w:rsid w:val="00581B90"/>
    <w:rsid w:val="0058484C"/>
    <w:rsid w:val="00596637"/>
    <w:rsid w:val="005B3D5A"/>
    <w:rsid w:val="005C293A"/>
    <w:rsid w:val="005D4E15"/>
    <w:rsid w:val="005F24B2"/>
    <w:rsid w:val="005F3E57"/>
    <w:rsid w:val="00601715"/>
    <w:rsid w:val="00605290"/>
    <w:rsid w:val="00621F2D"/>
    <w:rsid w:val="00660205"/>
    <w:rsid w:val="00670BE4"/>
    <w:rsid w:val="00670CF7"/>
    <w:rsid w:val="00675610"/>
    <w:rsid w:val="006B0FD3"/>
    <w:rsid w:val="006C25AE"/>
    <w:rsid w:val="006C3824"/>
    <w:rsid w:val="006C3959"/>
    <w:rsid w:val="006C5A7F"/>
    <w:rsid w:val="006D0FC1"/>
    <w:rsid w:val="006D457E"/>
    <w:rsid w:val="006D7C99"/>
    <w:rsid w:val="0071205B"/>
    <w:rsid w:val="0071698E"/>
    <w:rsid w:val="007367A8"/>
    <w:rsid w:val="00740405"/>
    <w:rsid w:val="00775315"/>
    <w:rsid w:val="00776917"/>
    <w:rsid w:val="00783827"/>
    <w:rsid w:val="007922F2"/>
    <w:rsid w:val="00794ABC"/>
    <w:rsid w:val="007B1295"/>
    <w:rsid w:val="007D16CE"/>
    <w:rsid w:val="007F3CF9"/>
    <w:rsid w:val="00803B9B"/>
    <w:rsid w:val="00805E16"/>
    <w:rsid w:val="00820402"/>
    <w:rsid w:val="0082277D"/>
    <w:rsid w:val="008373E8"/>
    <w:rsid w:val="00853DD5"/>
    <w:rsid w:val="0085637E"/>
    <w:rsid w:val="00870F07"/>
    <w:rsid w:val="0088484F"/>
    <w:rsid w:val="008944B6"/>
    <w:rsid w:val="008A035D"/>
    <w:rsid w:val="008A2277"/>
    <w:rsid w:val="008C00F8"/>
    <w:rsid w:val="008C01F4"/>
    <w:rsid w:val="008C48D0"/>
    <w:rsid w:val="008D5F48"/>
    <w:rsid w:val="008F326F"/>
    <w:rsid w:val="008F7412"/>
    <w:rsid w:val="00914AD1"/>
    <w:rsid w:val="00917036"/>
    <w:rsid w:val="009248B4"/>
    <w:rsid w:val="0092584A"/>
    <w:rsid w:val="00925D78"/>
    <w:rsid w:val="009321EE"/>
    <w:rsid w:val="00960C1E"/>
    <w:rsid w:val="00962608"/>
    <w:rsid w:val="00972E71"/>
    <w:rsid w:val="00985CA4"/>
    <w:rsid w:val="00995D63"/>
    <w:rsid w:val="009A267D"/>
    <w:rsid w:val="009C3F07"/>
    <w:rsid w:val="009C5CC0"/>
    <w:rsid w:val="009D3623"/>
    <w:rsid w:val="009D4179"/>
    <w:rsid w:val="009E7583"/>
    <w:rsid w:val="009F4DC1"/>
    <w:rsid w:val="00A0536F"/>
    <w:rsid w:val="00A13791"/>
    <w:rsid w:val="00A400CF"/>
    <w:rsid w:val="00A45A03"/>
    <w:rsid w:val="00A648F9"/>
    <w:rsid w:val="00A85C18"/>
    <w:rsid w:val="00A92FB3"/>
    <w:rsid w:val="00A94589"/>
    <w:rsid w:val="00AA5F9F"/>
    <w:rsid w:val="00AA632B"/>
    <w:rsid w:val="00AB3145"/>
    <w:rsid w:val="00AB3779"/>
    <w:rsid w:val="00AC10A0"/>
    <w:rsid w:val="00AD0D29"/>
    <w:rsid w:val="00AD7ADF"/>
    <w:rsid w:val="00AE1F23"/>
    <w:rsid w:val="00AE438B"/>
    <w:rsid w:val="00AF1058"/>
    <w:rsid w:val="00AF1EDA"/>
    <w:rsid w:val="00B10299"/>
    <w:rsid w:val="00B1300F"/>
    <w:rsid w:val="00B214FD"/>
    <w:rsid w:val="00B3067E"/>
    <w:rsid w:val="00B44F0B"/>
    <w:rsid w:val="00B5655E"/>
    <w:rsid w:val="00B615E9"/>
    <w:rsid w:val="00B67917"/>
    <w:rsid w:val="00BA6F6C"/>
    <w:rsid w:val="00BB69FF"/>
    <w:rsid w:val="00BC6919"/>
    <w:rsid w:val="00BD1785"/>
    <w:rsid w:val="00BD2D7A"/>
    <w:rsid w:val="00BD5974"/>
    <w:rsid w:val="00BE54CF"/>
    <w:rsid w:val="00BF113F"/>
    <w:rsid w:val="00C071A9"/>
    <w:rsid w:val="00C14D7B"/>
    <w:rsid w:val="00C323FE"/>
    <w:rsid w:val="00C428D3"/>
    <w:rsid w:val="00C722FA"/>
    <w:rsid w:val="00C7676A"/>
    <w:rsid w:val="00C86DAB"/>
    <w:rsid w:val="00C923F8"/>
    <w:rsid w:val="00CC38B5"/>
    <w:rsid w:val="00CD09BD"/>
    <w:rsid w:val="00CD461C"/>
    <w:rsid w:val="00D044DD"/>
    <w:rsid w:val="00D15147"/>
    <w:rsid w:val="00D16D5C"/>
    <w:rsid w:val="00D17A31"/>
    <w:rsid w:val="00D249BE"/>
    <w:rsid w:val="00D4175F"/>
    <w:rsid w:val="00D7654A"/>
    <w:rsid w:val="00DB44FE"/>
    <w:rsid w:val="00DC39C4"/>
    <w:rsid w:val="00DD6C9E"/>
    <w:rsid w:val="00E02374"/>
    <w:rsid w:val="00E047EE"/>
    <w:rsid w:val="00E06B11"/>
    <w:rsid w:val="00E1603E"/>
    <w:rsid w:val="00E2321A"/>
    <w:rsid w:val="00E24616"/>
    <w:rsid w:val="00E31D71"/>
    <w:rsid w:val="00E3653D"/>
    <w:rsid w:val="00E44F32"/>
    <w:rsid w:val="00E62B92"/>
    <w:rsid w:val="00E72685"/>
    <w:rsid w:val="00E80B39"/>
    <w:rsid w:val="00EB33AF"/>
    <w:rsid w:val="00ED261E"/>
    <w:rsid w:val="00EF10C4"/>
    <w:rsid w:val="00EF39D8"/>
    <w:rsid w:val="00F1020C"/>
    <w:rsid w:val="00F21E9F"/>
    <w:rsid w:val="00F35403"/>
    <w:rsid w:val="00F51AED"/>
    <w:rsid w:val="00F5425A"/>
    <w:rsid w:val="00F5620B"/>
    <w:rsid w:val="00F627DF"/>
    <w:rsid w:val="00F86565"/>
    <w:rsid w:val="00FB37DF"/>
    <w:rsid w:val="00FD352B"/>
    <w:rsid w:val="00FF5765"/>
    <w:rsid w:val="00FF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E9B220"/>
  <w15:docId w15:val="{6868AEE0-4093-4088-A002-C27941851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lang w:val="fr-FR" w:eastAsia="fr-FR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87D"/>
    <w:rPr>
      <w:color w:val="262626" w:themeColor="text1" w:themeTint="D9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225582"/>
    <w:pPr>
      <w:keepNext/>
      <w:keepLines/>
      <w:numPr>
        <w:numId w:val="7"/>
      </w:numPr>
      <w:spacing w:before="600" w:after="240" w:line="240" w:lineRule="auto"/>
      <w:outlineLvl w:val="0"/>
    </w:pPr>
    <w:rPr>
      <w:b/>
      <w:bCs/>
      <w:caps/>
      <w:color w:val="1F4E79" w:themeColor="accent1" w:themeShade="80"/>
      <w:sz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1205B"/>
    <w:pPr>
      <w:keepNext/>
      <w:keepLines/>
      <w:numPr>
        <w:numId w:val="2"/>
      </w:numPr>
      <w:spacing w:before="360" w:after="120" w:line="240" w:lineRule="auto"/>
      <w:outlineLvl w:val="1"/>
    </w:pPr>
    <w:rPr>
      <w:b/>
      <w:bCs/>
      <w:color w:val="5B9BD5" w:themeColor="accent1"/>
      <w:sz w:val="2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0B020E"/>
    <w:pPr>
      <w:keepNext/>
      <w:keepLines/>
      <w:numPr>
        <w:numId w:val="36"/>
      </w:numPr>
      <w:spacing w:before="40" w:after="0"/>
      <w:outlineLvl w:val="2"/>
    </w:pPr>
    <w:rPr>
      <w:rFonts w:eastAsiaTheme="majorEastAsia" w:cstheme="majorBidi"/>
      <w:b/>
      <w:sz w:val="28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225582"/>
    <w:pPr>
      <w:pBdr>
        <w:left w:val="double" w:sz="18" w:space="4" w:color="1F4E79" w:themeColor="accent1" w:themeShade="80"/>
      </w:pBdr>
      <w:spacing w:after="0" w:line="420" w:lineRule="exact"/>
    </w:pPr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</w:rPr>
  </w:style>
  <w:style w:type="character" w:customStyle="1" w:styleId="TitreCar">
    <w:name w:val="Titre Car"/>
    <w:basedOn w:val="Policepardfaut"/>
    <w:link w:val="Titre"/>
    <w:uiPriority w:val="10"/>
    <w:rsid w:val="00225582"/>
    <w:rPr>
      <w:rFonts w:asciiTheme="majorHAnsi" w:eastAsiaTheme="majorEastAsia" w:hAnsiTheme="majorHAnsi" w:cstheme="majorBidi"/>
      <w:caps/>
      <w:color w:val="1F4E79" w:themeColor="accent1" w:themeShade="80"/>
      <w:kern w:val="28"/>
      <w:sz w:val="38"/>
    </w:rPr>
  </w:style>
  <w:style w:type="table" w:styleId="Grilledutableau">
    <w:name w:val="Table Grid"/>
    <w:aliases w:val="Tableau 1re page"/>
    <w:basedOn w:val="TableauNormal"/>
    <w:uiPriority w:val="39"/>
    <w:rsid w:val="00225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basedOn w:val="Normal"/>
    <w:next w:val="Normal"/>
    <w:link w:val="Sous-titreCar"/>
    <w:uiPriority w:val="11"/>
    <w:qFormat/>
    <w:rsid w:val="00225582"/>
    <w:pPr>
      <w:numPr>
        <w:ilvl w:val="1"/>
      </w:numPr>
      <w:pBdr>
        <w:left w:val="double" w:sz="18" w:space="4" w:color="1F4E79" w:themeColor="accent1" w:themeShade="80"/>
      </w:pBdr>
      <w:spacing w:before="80" w:after="0" w:line="280" w:lineRule="exact"/>
    </w:pPr>
    <w:rPr>
      <w:b/>
      <w:bCs/>
      <w:color w:val="5B9BD5" w:themeColor="accent1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225582"/>
    <w:rPr>
      <w:b/>
      <w:bCs/>
      <w:color w:val="5B9BD5" w:themeColor="accent1"/>
      <w:sz w:val="24"/>
    </w:rPr>
  </w:style>
  <w:style w:type="character" w:customStyle="1" w:styleId="Titre1Car">
    <w:name w:val="Titre 1 Car"/>
    <w:basedOn w:val="Policepardfaut"/>
    <w:link w:val="Titre1"/>
    <w:uiPriority w:val="9"/>
    <w:rsid w:val="00225582"/>
    <w:rPr>
      <w:b/>
      <w:bCs/>
      <w:caps/>
      <w:color w:val="1F4E79" w:themeColor="accent1" w:themeShade="80"/>
      <w:sz w:val="28"/>
    </w:rPr>
  </w:style>
  <w:style w:type="table" w:customStyle="1" w:styleId="Tableaudeconseil">
    <w:name w:val="Tableau de conseil"/>
    <w:basedOn w:val="TableauNormal"/>
    <w:uiPriority w:val="99"/>
    <w:rsid w:val="00225582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DEEAF6" w:themeFill="accent1" w:themeFillTint="33"/>
    </w:tcPr>
    <w:tblStylePr w:type="firstCol">
      <w:pPr>
        <w:wordWrap/>
        <w:jc w:val="center"/>
      </w:pPr>
    </w:tblStylePr>
  </w:style>
  <w:style w:type="paragraph" w:customStyle="1" w:styleId="Textedeconseil">
    <w:name w:val="Texte de conseil"/>
    <w:basedOn w:val="Normal"/>
    <w:uiPriority w:val="99"/>
    <w:rsid w:val="00225582"/>
    <w:pPr>
      <w:spacing w:after="160" w:line="264" w:lineRule="auto"/>
      <w:ind w:right="576"/>
    </w:pPr>
    <w:rPr>
      <w:i/>
      <w:iCs/>
      <w:color w:val="7F7F7F" w:themeColor="text1" w:themeTint="80"/>
      <w:sz w:val="16"/>
    </w:rPr>
  </w:style>
  <w:style w:type="character" w:styleId="Textedelespacerserv">
    <w:name w:val="Placeholder Text"/>
    <w:basedOn w:val="Policepardfaut"/>
    <w:uiPriority w:val="99"/>
    <w:semiHidden/>
    <w:rsid w:val="00225582"/>
    <w:rPr>
      <w:color w:val="808080"/>
    </w:rPr>
  </w:style>
  <w:style w:type="paragraph" w:styleId="Sansinterligne">
    <w:name w:val="No Spacing"/>
    <w:uiPriority w:val="36"/>
    <w:qFormat/>
    <w:rsid w:val="00225582"/>
    <w:pPr>
      <w:spacing w:after="0" w:line="240" w:lineRule="auto"/>
    </w:pPr>
  </w:style>
  <w:style w:type="character" w:customStyle="1" w:styleId="Titre2Car">
    <w:name w:val="Titre 2 Car"/>
    <w:basedOn w:val="Policepardfaut"/>
    <w:link w:val="Titre2"/>
    <w:uiPriority w:val="9"/>
    <w:rsid w:val="00225582"/>
    <w:rPr>
      <w:b/>
      <w:bCs/>
      <w:color w:val="5B9BD5" w:themeColor="accent1"/>
      <w:sz w:val="24"/>
    </w:rPr>
  </w:style>
  <w:style w:type="paragraph" w:styleId="Listepuces">
    <w:name w:val="List Bullet"/>
    <w:basedOn w:val="Normal"/>
    <w:uiPriority w:val="1"/>
    <w:unhideWhenUsed/>
    <w:qFormat/>
    <w:rsid w:val="00225582"/>
    <w:pPr>
      <w:numPr>
        <w:numId w:val="1"/>
      </w:numPr>
      <w:spacing w:after="60"/>
    </w:pPr>
  </w:style>
  <w:style w:type="paragraph" w:styleId="En-tte">
    <w:name w:val="header"/>
    <w:basedOn w:val="Normal"/>
    <w:link w:val="En-tteCar"/>
    <w:uiPriority w:val="99"/>
    <w:unhideWhenUsed/>
    <w:rsid w:val="002255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5582"/>
  </w:style>
  <w:style w:type="paragraph" w:styleId="Pieddepage">
    <w:name w:val="footer"/>
    <w:basedOn w:val="Normal"/>
    <w:link w:val="PieddepageCar"/>
    <w:uiPriority w:val="99"/>
    <w:unhideWhenUsed/>
    <w:rsid w:val="00225582"/>
    <w:pPr>
      <w:spacing w:before="200" w:after="0" w:line="240" w:lineRule="auto"/>
      <w:contextualSpacing/>
      <w:jc w:val="right"/>
    </w:pPr>
    <w:rPr>
      <w:rFonts w:asciiTheme="majorHAnsi" w:eastAsiaTheme="majorEastAsia" w:hAnsiTheme="majorHAnsi" w:cstheme="majorBidi"/>
      <w:noProof/>
      <w:color w:val="1F4E79" w:themeColor="accent1" w:themeShade="80"/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225582"/>
    <w:rPr>
      <w:rFonts w:asciiTheme="majorHAnsi" w:eastAsiaTheme="majorEastAsia" w:hAnsiTheme="majorHAnsi" w:cstheme="majorBidi"/>
      <w:noProof/>
      <w:color w:val="1F4E79" w:themeColor="accent1" w:themeShade="80"/>
      <w:sz w:val="20"/>
    </w:rPr>
  </w:style>
  <w:style w:type="table" w:customStyle="1" w:styleId="TableauGrille4-Accentuation11">
    <w:name w:val="Tableau Grille 4 - Accentuation 11"/>
    <w:basedOn w:val="TableauNormal"/>
    <w:uiPriority w:val="49"/>
    <w:rsid w:val="0022558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lledetableauclaire1">
    <w:name w:val="Grille de tableau claire1"/>
    <w:basedOn w:val="TableauNormal"/>
    <w:uiPriority w:val="40"/>
    <w:rsid w:val="0022558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audobjectifduprojet">
    <w:name w:val="Tableau d’objectif du projet"/>
    <w:basedOn w:val="TableauNormal"/>
    <w:uiPriority w:val="99"/>
    <w:rsid w:val="00225582"/>
    <w:pPr>
      <w:spacing w:before="120" w:after="120" w:line="240" w:lineRule="auto"/>
    </w:p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5B9BD5" w:themeFill="accent1"/>
      </w:tcPr>
    </w:tblStylePr>
  </w:style>
  <w:style w:type="paragraph" w:styleId="Notedebasdepage">
    <w:name w:val="footnote text"/>
    <w:basedOn w:val="Normal"/>
    <w:link w:val="NotedebasdepageCar"/>
    <w:uiPriority w:val="12"/>
    <w:unhideWhenUsed/>
    <w:rsid w:val="00225582"/>
    <w:pPr>
      <w:spacing w:before="140" w:after="0" w:line="240" w:lineRule="auto"/>
    </w:pPr>
    <w:rPr>
      <w:i/>
      <w:iCs/>
      <w:sz w:val="14"/>
    </w:rPr>
  </w:style>
  <w:style w:type="character" w:customStyle="1" w:styleId="NotedebasdepageCar">
    <w:name w:val="Note de bas de page Car"/>
    <w:basedOn w:val="Policepardfaut"/>
    <w:link w:val="Notedebasdepage"/>
    <w:uiPriority w:val="12"/>
    <w:rsid w:val="00225582"/>
    <w:rPr>
      <w:i/>
      <w:iCs/>
      <w:sz w:val="1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25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5582"/>
    <w:rPr>
      <w:rFonts w:ascii="Tahoma" w:hAnsi="Tahoma" w:cs="Tahoma"/>
      <w:sz w:val="16"/>
      <w:szCs w:val="16"/>
    </w:rPr>
  </w:style>
  <w:style w:type="paragraph" w:customStyle="1" w:styleId="18Activitsdoctexte">
    <w:name w:val="18_Activités_doc_texte"/>
    <w:basedOn w:val="Normal"/>
    <w:qFormat/>
    <w:rsid w:val="005056D8"/>
    <w:pPr>
      <w:shd w:val="clear" w:color="auto" w:fill="FABF8F"/>
      <w:spacing w:after="0" w:line="240" w:lineRule="auto"/>
      <w:jc w:val="both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07ReponseLDP">
    <w:name w:val="07_ReponseLDP"/>
    <w:basedOn w:val="Normal"/>
    <w:uiPriority w:val="99"/>
    <w:rsid w:val="006D457E"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Cs w:val="22"/>
    </w:rPr>
  </w:style>
  <w:style w:type="paragraph" w:styleId="Paragraphedeliste">
    <w:name w:val="List Paragraph"/>
    <w:basedOn w:val="Normal"/>
    <w:uiPriority w:val="34"/>
    <w:qFormat/>
    <w:rsid w:val="006D457E"/>
    <w:pPr>
      <w:ind w:left="720"/>
      <w:contextualSpacing/>
    </w:pPr>
  </w:style>
  <w:style w:type="paragraph" w:customStyle="1" w:styleId="texte9">
    <w:name w:val="texte9"/>
    <w:basedOn w:val="Normal"/>
    <w:rsid w:val="002D58E5"/>
    <w:pPr>
      <w:spacing w:after="75" w:line="240" w:lineRule="atLeast"/>
    </w:pPr>
    <w:rPr>
      <w:rFonts w:ascii="Arial" w:eastAsia="Times New Roman" w:hAnsi="Arial" w:cs="Arial"/>
      <w:color w:val="000000"/>
      <w:szCs w:val="18"/>
    </w:rPr>
  </w:style>
  <w:style w:type="paragraph" w:customStyle="1" w:styleId="Default">
    <w:name w:val="Default"/>
    <w:rsid w:val="00870F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9248B4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9248B4"/>
    <w:rPr>
      <w:b/>
      <w:bCs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62B92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rsid w:val="000B020E"/>
    <w:rPr>
      <w:rFonts w:eastAsiaTheme="majorEastAsia" w:cstheme="majorBidi"/>
      <w:b/>
      <w:color w:val="262626" w:themeColor="text1" w:themeTint="D9"/>
      <w:sz w:val="28"/>
      <w:szCs w:val="24"/>
    </w:rPr>
  </w:style>
  <w:style w:type="table" w:styleId="TableauGrille5Fonc-Accentuation3">
    <w:name w:val="Grid Table 5 Dark Accent 3"/>
    <w:basedOn w:val="TableauNormal"/>
    <w:uiPriority w:val="50"/>
    <w:rsid w:val="0052687D"/>
    <w:pPr>
      <w:spacing w:after="0" w:line="240" w:lineRule="auto"/>
    </w:pPr>
    <w:rPr>
      <w:color w:val="auto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2D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BF2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BF2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BF2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BF2E" w:themeFill="accent3"/>
      </w:tcPr>
    </w:tblStylePr>
    <w:tblStylePr w:type="band1Vert">
      <w:tblPr/>
      <w:tcPr>
        <w:shd w:val="clear" w:color="auto" w:fill="FAE5AB" w:themeFill="accent3" w:themeFillTint="66"/>
      </w:tcPr>
    </w:tblStylePr>
    <w:tblStylePr w:type="band1Horz">
      <w:tblPr/>
      <w:tcPr>
        <w:shd w:val="clear" w:color="auto" w:fill="FAE5AB" w:themeFill="accent3" w:themeFillTint="66"/>
      </w:tcPr>
    </w:tblStylePr>
  </w:style>
  <w:style w:type="paragraph" w:customStyle="1" w:styleId="TEnumtiret">
    <w:name w:val="T_Enum_tiret"/>
    <w:basedOn w:val="Normal"/>
    <w:next w:val="Normal"/>
    <w:uiPriority w:val="99"/>
    <w:rsid w:val="00017BF5"/>
    <w:pPr>
      <w:widowControl w:val="0"/>
      <w:numPr>
        <w:numId w:val="11"/>
      </w:numPr>
      <w:tabs>
        <w:tab w:val="clear" w:pos="113"/>
        <w:tab w:val="left" w:pos="170"/>
      </w:tabs>
      <w:autoSpaceDE w:val="0"/>
      <w:autoSpaceDN w:val="0"/>
      <w:adjustRightInd w:val="0"/>
      <w:spacing w:after="0" w:line="260" w:lineRule="atLeast"/>
      <w:jc w:val="both"/>
      <w:textAlignment w:val="center"/>
    </w:pPr>
    <w:rPr>
      <w:rFonts w:ascii="GuidePedagoTimes" w:eastAsia="Times New Roman" w:hAnsi="GuidePedagoTimes" w:cs="GuidePedagoTimes"/>
      <w:color w:val="000000"/>
      <w:szCs w:val="22"/>
    </w:rPr>
  </w:style>
  <w:style w:type="paragraph" w:customStyle="1" w:styleId="Textbody">
    <w:name w:val="Text body"/>
    <w:basedOn w:val="Normal"/>
    <w:rsid w:val="00BA6F6C"/>
    <w:pPr>
      <w:suppressAutoHyphens/>
      <w:autoSpaceDN w:val="0"/>
      <w:spacing w:after="140"/>
    </w:pPr>
    <w:rPr>
      <w:rFonts w:ascii="Liberation Serif" w:eastAsia="SimSun" w:hAnsi="Liberation Serif" w:cs="Lucida Sans"/>
      <w:color w:val="auto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BA6F6C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color w:val="auto"/>
      <w:kern w:val="3"/>
      <w:sz w:val="24"/>
      <w:szCs w:val="24"/>
      <w:lang w:eastAsia="zh-CN" w:bidi="hi-IN"/>
    </w:rPr>
  </w:style>
  <w:style w:type="character" w:styleId="Lienhypertextesuivivisit">
    <w:name w:val="FollowedHyperlink"/>
    <w:basedOn w:val="Policepardfaut"/>
    <w:uiPriority w:val="99"/>
    <w:semiHidden/>
    <w:unhideWhenUsed/>
    <w:rsid w:val="006D0FC1"/>
    <w:rPr>
      <w:color w:val="92588D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23AAB"/>
    <w:rPr>
      <w:color w:val="605E5C"/>
      <w:shd w:val="clear" w:color="auto" w:fill="E1DFDD"/>
    </w:rPr>
  </w:style>
  <w:style w:type="paragraph" w:styleId="Lgende">
    <w:name w:val="caption"/>
    <w:basedOn w:val="Normal"/>
    <w:next w:val="Normal"/>
    <w:uiPriority w:val="35"/>
    <w:unhideWhenUsed/>
    <w:qFormat/>
    <w:rsid w:val="00794ABC"/>
    <w:pPr>
      <w:spacing w:after="200" w:line="240" w:lineRule="auto"/>
    </w:pPr>
    <w:rPr>
      <w:i/>
      <w:iCs/>
      <w:color w:val="2C283A" w:themeColor="text2"/>
      <w:sz w:val="18"/>
      <w:szCs w:val="18"/>
    </w:rPr>
  </w:style>
  <w:style w:type="paragraph" w:customStyle="1" w:styleId="TTextecourant">
    <w:name w:val="T_Texte_courant"/>
    <w:basedOn w:val="Normal"/>
    <w:uiPriority w:val="99"/>
    <w:rsid w:val="00605290"/>
    <w:pPr>
      <w:widowControl w:val="0"/>
      <w:autoSpaceDE w:val="0"/>
      <w:autoSpaceDN w:val="0"/>
      <w:adjustRightInd w:val="0"/>
      <w:spacing w:after="0" w:line="260" w:lineRule="atLeast"/>
      <w:jc w:val="both"/>
    </w:pPr>
    <w:rPr>
      <w:rFonts w:ascii="GuidePedagoTimes" w:eastAsia="Times New Roman" w:hAnsi="GuidePedagoTimes" w:cs="GuidePedagoTimes"/>
      <w:color w:val="000000"/>
      <w:szCs w:val="22"/>
    </w:rPr>
  </w:style>
  <w:style w:type="paragraph" w:customStyle="1" w:styleId="06Questionenonce">
    <w:name w:val="06_Question_enonce"/>
    <w:basedOn w:val="Normal"/>
    <w:uiPriority w:val="99"/>
    <w:rsid w:val="00605290"/>
    <w:pPr>
      <w:keepNext/>
      <w:widowControl w:val="0"/>
      <w:suppressAutoHyphens/>
      <w:autoSpaceDE w:val="0"/>
      <w:autoSpaceDN w:val="0"/>
      <w:adjustRightInd w:val="0"/>
      <w:spacing w:before="113" w:after="0" w:line="270" w:lineRule="atLeast"/>
      <w:jc w:val="both"/>
    </w:pPr>
    <w:rPr>
      <w:rFonts w:ascii="GuidePedagoTimes-Bold" w:eastAsia="Times New Roman" w:hAnsi="GuidePedagoTimes-Bold" w:cs="GuidePedagoTimes-Bold"/>
      <w:b/>
      <w:bCs/>
      <w:color w:val="000000"/>
      <w:spacing w:val="-1"/>
      <w:sz w:val="23"/>
      <w:szCs w:val="23"/>
    </w:rPr>
  </w:style>
  <w:style w:type="paragraph" w:customStyle="1" w:styleId="TEnumpuce">
    <w:name w:val="T_Enum_puce"/>
    <w:basedOn w:val="TTextecourant"/>
    <w:next w:val="TTextecourant"/>
    <w:uiPriority w:val="99"/>
    <w:rsid w:val="00BD1785"/>
    <w:pPr>
      <w:numPr>
        <w:numId w:val="17"/>
      </w:numPr>
    </w:pPr>
  </w:style>
  <w:style w:type="paragraph" w:customStyle="1" w:styleId="Tableaucourant">
    <w:name w:val="Tableau_courant"/>
    <w:basedOn w:val="Normal"/>
    <w:uiPriority w:val="99"/>
    <w:rsid w:val="005D4E15"/>
    <w:pPr>
      <w:widowControl w:val="0"/>
      <w:autoSpaceDE w:val="0"/>
      <w:autoSpaceDN w:val="0"/>
      <w:adjustRightInd w:val="0"/>
      <w:spacing w:after="0" w:line="180" w:lineRule="atLeast"/>
      <w:jc w:val="both"/>
    </w:pPr>
    <w:rPr>
      <w:rFonts w:ascii="GuidePedagoNCond" w:eastAsia="Times New Roman" w:hAnsi="GuidePedagoNCond" w:cs="GuidePedagoNCond"/>
      <w:color w:val="000000"/>
      <w:sz w:val="16"/>
      <w:szCs w:val="16"/>
    </w:rPr>
  </w:style>
  <w:style w:type="paragraph" w:customStyle="1" w:styleId="Tableautetiere">
    <w:name w:val="Tableau_tetiere"/>
    <w:basedOn w:val="Tableaucourant"/>
    <w:uiPriority w:val="99"/>
    <w:rsid w:val="005D4E15"/>
    <w:pPr>
      <w:suppressAutoHyphens/>
    </w:pPr>
    <w:rPr>
      <w:rFonts w:ascii="GuidePedagoNCond-Bold" w:hAnsi="GuidePedagoNCond-Bold" w:cs="GuidePedagoNCond-Bold"/>
      <w:b/>
      <w:bCs/>
    </w:rPr>
  </w:style>
  <w:style w:type="paragraph" w:customStyle="1" w:styleId="Pa8">
    <w:name w:val="Pa8"/>
    <w:basedOn w:val="Default"/>
    <w:next w:val="Default"/>
    <w:uiPriority w:val="99"/>
    <w:rsid w:val="007367A8"/>
    <w:pPr>
      <w:spacing w:line="211" w:lineRule="atLeast"/>
    </w:pPr>
    <w:rPr>
      <w:rFonts w:ascii="Myriad Pro" w:hAnsi="Myriad Pro" w:cstheme="minorBidi"/>
      <w:color w:val="404040" w:themeColor="text1" w:themeTint="BF"/>
    </w:rPr>
  </w:style>
  <w:style w:type="paragraph" w:customStyle="1" w:styleId="Pa14">
    <w:name w:val="Pa14"/>
    <w:basedOn w:val="Default"/>
    <w:next w:val="Default"/>
    <w:uiPriority w:val="99"/>
    <w:rsid w:val="00675610"/>
    <w:pPr>
      <w:spacing w:line="205" w:lineRule="atLeast"/>
    </w:pPr>
    <w:rPr>
      <w:rFonts w:ascii="Myriad Pro SemiCond" w:hAnsi="Myriad Pro SemiCond" w:cstheme="minorBidi"/>
      <w:color w:val="404040" w:themeColor="text1" w:themeTint="BF"/>
    </w:rPr>
  </w:style>
  <w:style w:type="paragraph" w:customStyle="1" w:styleId="Pa29">
    <w:name w:val="Pa29"/>
    <w:basedOn w:val="Default"/>
    <w:next w:val="Default"/>
    <w:uiPriority w:val="99"/>
    <w:rsid w:val="00675610"/>
    <w:pPr>
      <w:spacing w:line="211" w:lineRule="atLeast"/>
    </w:pPr>
    <w:rPr>
      <w:rFonts w:ascii="Myriad Pro SemiCond" w:hAnsi="Myriad Pro SemiCond" w:cstheme="minorBidi"/>
      <w:color w:val="404040" w:themeColor="text1" w:themeTint="BF"/>
    </w:rPr>
  </w:style>
  <w:style w:type="paragraph" w:customStyle="1" w:styleId="Tableaulistepuce">
    <w:name w:val="Tableau_liste_puce"/>
    <w:basedOn w:val="Tableaucourant"/>
    <w:uiPriority w:val="99"/>
    <w:rsid w:val="00A45A03"/>
    <w:pPr>
      <w:numPr>
        <w:numId w:val="22"/>
      </w:numPr>
      <w:tabs>
        <w:tab w:val="clear" w:pos="57"/>
        <w:tab w:val="left" w:pos="113"/>
      </w:tabs>
      <w:textAlignment w:val="center"/>
    </w:pPr>
  </w:style>
  <w:style w:type="character" w:customStyle="1" w:styleId="ls0">
    <w:name w:val="ls0"/>
    <w:basedOn w:val="Policepardfaut"/>
    <w:rsid w:val="001C5DEB"/>
  </w:style>
  <w:style w:type="character" w:styleId="Marquedecommentaire">
    <w:name w:val="annotation reference"/>
    <w:basedOn w:val="Policepardfaut"/>
    <w:uiPriority w:val="99"/>
    <w:semiHidden/>
    <w:unhideWhenUsed/>
    <w:rsid w:val="00363BA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63BA4"/>
    <w:pPr>
      <w:spacing w:line="240" w:lineRule="auto"/>
    </w:pPr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63BA4"/>
    <w:rPr>
      <w:color w:val="262626" w:themeColor="text1" w:themeTint="D9"/>
      <w:sz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63BA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63BA4"/>
    <w:rPr>
      <w:b/>
      <w:bCs/>
      <w:color w:val="262626" w:themeColor="text1" w:themeTint="D9"/>
      <w:sz w:val="20"/>
    </w:rPr>
  </w:style>
  <w:style w:type="paragraph" w:styleId="NormalWeb">
    <w:name w:val="Normal (Web)"/>
    <w:basedOn w:val="Normal"/>
    <w:uiPriority w:val="99"/>
    <w:semiHidden/>
    <w:unhideWhenUsed/>
    <w:rsid w:val="00184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leauGrille5Fonc-Accentuation1">
    <w:name w:val="Grid Table 5 Dark Accent 1"/>
    <w:basedOn w:val="TableauNormal"/>
    <w:uiPriority w:val="50"/>
    <w:rsid w:val="00C86DAB"/>
    <w:pPr>
      <w:spacing w:after="0" w:line="240" w:lineRule="auto"/>
    </w:pPr>
    <w:rPr>
      <w:color w:val="auto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character" w:styleId="Appelnotedebasdep">
    <w:name w:val="footnote reference"/>
    <w:basedOn w:val="Policepardfaut"/>
    <w:uiPriority w:val="99"/>
    <w:semiHidden/>
    <w:unhideWhenUsed/>
    <w:rsid w:val="002238DE"/>
    <w:rPr>
      <w:vertAlign w:val="superscript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0F58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0F58D6"/>
    <w:rPr>
      <w:rFonts w:ascii="Courier New" w:eastAsia="Times New Roman" w:hAnsi="Courier New" w:cs="Courier New"/>
      <w:color w:val="auto"/>
      <w:sz w:val="20"/>
    </w:rPr>
  </w:style>
  <w:style w:type="paragraph" w:customStyle="1" w:styleId="Pa23">
    <w:name w:val="Pa23"/>
    <w:basedOn w:val="Default"/>
    <w:next w:val="Default"/>
    <w:uiPriority w:val="99"/>
    <w:rsid w:val="00805E16"/>
    <w:pPr>
      <w:spacing w:line="217" w:lineRule="atLeast"/>
    </w:pPr>
    <w:rPr>
      <w:rFonts w:ascii="Myriad Pro SemiCond" w:hAnsi="Myriad Pro SemiCond" w:cstheme="minorBidi"/>
      <w:color w:val="404040" w:themeColor="text1" w:themeTint="BF"/>
    </w:rPr>
  </w:style>
  <w:style w:type="paragraph" w:customStyle="1" w:styleId="Pa6">
    <w:name w:val="Pa6"/>
    <w:basedOn w:val="Default"/>
    <w:next w:val="Default"/>
    <w:uiPriority w:val="99"/>
    <w:rsid w:val="003541E3"/>
    <w:pPr>
      <w:spacing w:line="201" w:lineRule="atLeast"/>
    </w:pPr>
    <w:rPr>
      <w:rFonts w:ascii="Roboto" w:hAnsi="Roboto" w:cstheme="minorBidi"/>
      <w:color w:val="404040" w:themeColor="text1" w:themeTint="BF"/>
    </w:rPr>
  </w:style>
  <w:style w:type="paragraph" w:customStyle="1" w:styleId="Pa2">
    <w:name w:val="Pa2"/>
    <w:basedOn w:val="Default"/>
    <w:next w:val="Default"/>
    <w:uiPriority w:val="99"/>
    <w:rsid w:val="003D7512"/>
    <w:pPr>
      <w:spacing w:line="181" w:lineRule="atLeast"/>
    </w:pPr>
    <w:rPr>
      <w:rFonts w:ascii="Roboto Bk" w:hAnsi="Roboto Bk" w:cstheme="minorBidi"/>
      <w:color w:val="404040" w:themeColor="text1" w:themeTint="BF"/>
    </w:rPr>
  </w:style>
  <w:style w:type="character" w:customStyle="1" w:styleId="A1">
    <w:name w:val="A1"/>
    <w:uiPriority w:val="99"/>
    <w:rsid w:val="003A1FBA"/>
    <w:rPr>
      <w:rFonts w:cs="Roboto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34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9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1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3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1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6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5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5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7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2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3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6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4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4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1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6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2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1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6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2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3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27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73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1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5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2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2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3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3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8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1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4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0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54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91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96292">
              <w:marLeft w:val="24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2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2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999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66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721588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920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734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389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5881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6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9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8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3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0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4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4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5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1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1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6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0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4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1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6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1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3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3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2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1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4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9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4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ne\AppData\Roaming\Microsoft\Templates\Objectif%20g&#233;n&#233;ral%20de%20projet.dotx" TargetMode="External"/></Relationships>
</file>

<file path=word/theme/theme1.xml><?xml version="1.0" encoding="utf-8"?>
<a:theme xmlns:a="http://schemas.openxmlformats.org/drawingml/2006/main" name="Office Theme">
  <a:themeElements>
    <a:clrScheme name="Proposal">
      <a:dk1>
        <a:sysClr val="windowText" lastClr="000000"/>
      </a:dk1>
      <a:lt1>
        <a:sysClr val="window" lastClr="FFFFFF"/>
      </a:lt1>
      <a:dk2>
        <a:srgbClr val="2C283A"/>
      </a:dk2>
      <a:lt2>
        <a:srgbClr val="F1EAE6"/>
      </a:lt2>
      <a:accent1>
        <a:srgbClr val="5B9BD5"/>
      </a:accent1>
      <a:accent2>
        <a:srgbClr val="86BB40"/>
      </a:accent2>
      <a:accent3>
        <a:srgbClr val="F4BF2E"/>
      </a:accent3>
      <a:accent4>
        <a:srgbClr val="F3866C"/>
      </a:accent4>
      <a:accent5>
        <a:srgbClr val="92588D"/>
      </a:accent5>
      <a:accent6>
        <a:srgbClr val="F3533F"/>
      </a:accent6>
      <a:hlink>
        <a:srgbClr val="40ACD1"/>
      </a:hlink>
      <a:folHlink>
        <a:srgbClr val="92588D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71770-17E6-4153-B66C-5ABDCB7E18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F69396-059A-4FD5-9AD3-73EAB64B6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Objectif général de projet</Template>
  <TotalTime>73</TotalTime>
  <Pages>4</Pages>
  <Words>1284</Words>
  <Characters>7068</Characters>
  <Application>Microsoft Office Word</Application>
  <DocSecurity>0</DocSecurity>
  <Lines>58</Lines>
  <Paragraphs>16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En-têtes</vt:lpstr>
      </vt:variant>
      <vt:variant>
        <vt:i4>11</vt:i4>
      </vt:variant>
    </vt:vector>
  </HeadingPairs>
  <TitlesOfParts>
    <vt:vector size="12" baseType="lpstr">
      <vt:lpstr/>
      <vt:lpstr>Présentation</vt:lpstr>
      <vt:lpstr>    Historique et description du projet</vt:lpstr>
      <vt:lpstr>    Objectif du projet</vt:lpstr>
      <vt:lpstr>    Exigences principales</vt:lpstr>
      <vt:lpstr>    Livrables</vt:lpstr>
      <vt:lpstr>    Parties affectées</vt:lpstr>
      <vt:lpstr>    Systèmes ou processus d’entreprise affectés</vt:lpstr>
      <vt:lpstr>    Exclusions spécifiques de l’objectif</vt:lpstr>
      <vt:lpstr>    Plan de mise en œuvre</vt:lpstr>
      <vt:lpstr>    Chronologie/planification principale</vt:lpstr>
      <vt:lpstr>Approbation et autorisation</vt:lpstr>
    </vt:vector>
  </TitlesOfParts>
  <Company/>
  <LinksUpToDate>false</LinksUpToDate>
  <CharactersWithSpaces>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Marine</dc:creator>
  <cp:keywords/>
  <cp:lastModifiedBy>Mirabelle M</cp:lastModifiedBy>
  <cp:revision>7</cp:revision>
  <cp:lastPrinted>2020-01-28T14:54:00Z</cp:lastPrinted>
  <dcterms:created xsi:type="dcterms:W3CDTF">2020-01-31T17:24:00Z</dcterms:created>
  <dcterms:modified xsi:type="dcterms:W3CDTF">2020-01-31T18:42:00Z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TC029278139991</vt:lpwstr>
  </property>
</Properties>
</file>